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5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803"/>
        <w:gridCol w:w="709"/>
        <w:gridCol w:w="2129"/>
        <w:gridCol w:w="139"/>
        <w:gridCol w:w="1637"/>
        <w:gridCol w:w="1481"/>
        <w:gridCol w:w="287"/>
        <w:gridCol w:w="445"/>
        <w:gridCol w:w="659"/>
        <w:gridCol w:w="224"/>
        <w:gridCol w:w="1103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全国技工院校教师职业能力大赛教师能力提升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韩加喜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8910567306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12.698万元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12.698万元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12.698万元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12.698万元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12.698万元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12.698万元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购置学习通平台、教师研修大赛平台2个功能软件的线上教学、研究平台服务器使用、服务期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年（截止项目建设期结束），其中包括专业知识、专业技能、精选课程、通识素养、班主任培养、师德师风6类课程资源237门。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学习通平台、教师研修大赛平台2个功能软件的线上教学、研究平台服务器使用、服务期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年。其中包括专业知识、专业技能、精选课程、通识素养、班主任培养、师德师风6类课程资源237门。整体运行稳定，服务良好。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8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教师研修大赛平台</w:t>
            </w:r>
          </w:p>
        </w:tc>
        <w:tc>
          <w:tcPr>
            <w:tcW w:w="1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学习通平台</w:t>
            </w:r>
          </w:p>
        </w:tc>
        <w:tc>
          <w:tcPr>
            <w:tcW w:w="1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全体教师咨询服务率</w:t>
            </w:r>
          </w:p>
        </w:tc>
        <w:tc>
          <w:tcPr>
            <w:tcW w:w="1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7%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教学平台后台只录入了本校在职教师信息，外聘兼课教师没有予以咨询服务，造成咨询服务率数值偏差。可增加外聘兼课教师后台信息，并单独建立教学团队进行区分和统一管理。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平台故障率</w:t>
            </w:r>
          </w:p>
        </w:tc>
        <w:tc>
          <w:tcPr>
            <w:tcW w:w="1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1%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2022年5月完成满意度调查</w:t>
            </w:r>
          </w:p>
        </w:tc>
        <w:tc>
          <w:tcPr>
            <w:tcW w:w="1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2022年11月前支付尾款</w:t>
            </w:r>
          </w:p>
        </w:tc>
        <w:tc>
          <w:tcPr>
            <w:tcW w:w="1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022年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1月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022年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1月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2022年预算控制数</w:t>
            </w:r>
          </w:p>
        </w:tc>
        <w:tc>
          <w:tcPr>
            <w:tcW w:w="1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12.698万元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12.698万元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定性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丰富教学资源，教师能力大赛北京市获奖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3人，国赛获奖1人。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环境污染</w:t>
            </w:r>
          </w:p>
        </w:tc>
        <w:tc>
          <w:tcPr>
            <w:tcW w:w="1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无污染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无污染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</w:t>
            </w:r>
          </w:p>
        </w:tc>
        <w:tc>
          <w:tcPr>
            <w:tcW w:w="1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定性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丰富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教学手段，保证疫情期间网课有序运行。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1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4.4%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满意度调查问卷教师和学生共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用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一个，个别问题没有兼顾到受众人群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存在学生盲目打分问题。可根据受众人群分别进行满意度调查。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3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480" w:firstLineChars="200"/>
        <w:rPr>
          <w:rFonts w:ascii="仿宋_GB2312" w:hAnsi="宋体" w:eastAsia="仿宋_GB2312" w:cs="宋体"/>
          <w:color w:val="000000"/>
          <w:kern w:val="0"/>
          <w:sz w:val="24"/>
          <w:szCs w:val="24"/>
        </w:rPr>
      </w:pPr>
      <w:bookmarkStart w:id="0" w:name="_GoBack"/>
      <w:bookmarkEnd w:id="0"/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AC"/>
    <w:rsid w:val="0005386B"/>
    <w:rsid w:val="002A406B"/>
    <w:rsid w:val="003100E3"/>
    <w:rsid w:val="0036779C"/>
    <w:rsid w:val="003C3B6F"/>
    <w:rsid w:val="004E6556"/>
    <w:rsid w:val="00537EBF"/>
    <w:rsid w:val="006A153C"/>
    <w:rsid w:val="007D6892"/>
    <w:rsid w:val="00964CA5"/>
    <w:rsid w:val="00A70BA2"/>
    <w:rsid w:val="00A953AC"/>
    <w:rsid w:val="00BB701F"/>
    <w:rsid w:val="00C425B1"/>
    <w:rsid w:val="00CA1B4B"/>
    <w:rsid w:val="00CC4087"/>
    <w:rsid w:val="00F2494B"/>
    <w:rsid w:val="00F60709"/>
    <w:rsid w:val="00F74123"/>
    <w:rsid w:val="111C551F"/>
    <w:rsid w:val="2A79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232</Words>
  <Characters>1325</Characters>
  <Lines>11</Lines>
  <Paragraphs>3</Paragraphs>
  <TotalTime>12</TotalTime>
  <ScaleCrop>false</ScaleCrop>
  <LinksUpToDate>false</LinksUpToDate>
  <CharactersWithSpaces>1554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2023-05-12T05:02:00Z</dcterms:created>
  <dc:creator>Windows User</dc:creator>
  <cp:lastModifiedBy>LEE</cp:lastModifiedBy>
  <dcterms:modified xsi:type="dcterms:W3CDTF">2023-05-19T05:59:51Z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