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50903" w:rsidRDefault="000F6F95">
      <w:pPr>
        <w:spacing w:line="240" w:lineRule="auto"/>
        <w:ind w:firstLine="560"/>
      </w:pPr>
      <w:r>
        <w:rPr>
          <w:noProof/>
        </w:rPr>
        <w:drawing>
          <wp:anchor distT="0" distB="0" distL="114300" distR="114300" simplePos="0" relativeHeight="251666432" behindDoc="0" locked="0" layoutInCell="1" allowOverlap="1">
            <wp:simplePos x="0" y="0"/>
            <wp:positionH relativeFrom="column">
              <wp:posOffset>-1005840</wp:posOffset>
            </wp:positionH>
            <wp:positionV relativeFrom="paragraph">
              <wp:posOffset>-807720</wp:posOffset>
            </wp:positionV>
            <wp:extent cx="7474585" cy="10496550"/>
            <wp:effectExtent l="0" t="0" r="5715" b="6350"/>
            <wp:wrapSquare wrapText="bothSides"/>
            <wp:docPr id="6" name="图片 6" descr="925ebf69bccbff5110f2d11c27b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925ebf69bccbff5110f2d11c27b3408"/>
                    <pic:cNvPicPr>
                      <a:picLocks noChangeAspect="1"/>
                    </pic:cNvPicPr>
                  </pic:nvPicPr>
                  <pic:blipFill>
                    <a:blip r:embed="rId8" cstate="print"/>
                    <a:stretch>
                      <a:fillRect/>
                    </a:stretch>
                  </pic:blipFill>
                  <pic:spPr>
                    <a:xfrm>
                      <a:off x="0" y="0"/>
                      <a:ext cx="7474585" cy="10496550"/>
                    </a:xfrm>
                    <a:prstGeom prst="rect">
                      <a:avLst/>
                    </a:prstGeom>
                  </pic:spPr>
                </pic:pic>
              </a:graphicData>
            </a:graphic>
          </wp:anchor>
        </w:drawing>
      </w:r>
      <w:r>
        <w:br w:type="page"/>
      </w:r>
    </w:p>
    <w:p w:rsidR="00B65DC8" w:rsidRDefault="00B65DC8" w:rsidP="0025481D">
      <w:pPr>
        <w:spacing w:afterLines="100" w:after="312" w:line="360" w:lineRule="auto"/>
        <w:ind w:firstLineChars="0" w:firstLine="0"/>
        <w:jc w:val="center"/>
        <w:rPr>
          <w:rFonts w:ascii="仿宋" w:eastAsia="仿宋" w:hAnsi="仿宋"/>
          <w:b/>
          <w:sz w:val="44"/>
          <w:szCs w:val="24"/>
        </w:rPr>
      </w:pPr>
      <w:r>
        <w:rPr>
          <w:noProof/>
        </w:rPr>
        <w:lastRenderedPageBreak/>
        <w:drawing>
          <wp:anchor distT="0" distB="0" distL="114300" distR="114300" simplePos="0" relativeHeight="251667456" behindDoc="0" locked="0" layoutInCell="1" allowOverlap="1">
            <wp:simplePos x="0" y="0"/>
            <wp:positionH relativeFrom="column">
              <wp:posOffset>-359245</wp:posOffset>
            </wp:positionH>
            <wp:positionV relativeFrom="paragraph">
              <wp:posOffset>114876</wp:posOffset>
            </wp:positionV>
            <wp:extent cx="5985862" cy="8626387"/>
            <wp:effectExtent l="0" t="0" r="0" b="3810"/>
            <wp:wrapNone/>
            <wp:docPr id="1877070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070947"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85862" cy="8626387"/>
                    </a:xfrm>
                    <a:prstGeom prst="rect">
                      <a:avLst/>
                    </a:prstGeom>
                  </pic:spPr>
                </pic:pic>
              </a:graphicData>
            </a:graphic>
          </wp:anchor>
        </w:drawing>
      </w:r>
    </w:p>
    <w:p w:rsidR="00B65DC8" w:rsidRDefault="00B65DC8" w:rsidP="00B65DC8">
      <w:pPr>
        <w:pStyle w:val="a0"/>
        <w:ind w:firstLine="560"/>
      </w:pPr>
      <w:r>
        <w:br w:type="page"/>
      </w:r>
    </w:p>
    <w:p w:rsidR="00650903" w:rsidRDefault="000F6F95" w:rsidP="0025481D">
      <w:pPr>
        <w:spacing w:afterLines="100" w:after="312" w:line="360" w:lineRule="auto"/>
        <w:ind w:firstLineChars="0" w:firstLine="0"/>
        <w:jc w:val="center"/>
        <w:rPr>
          <w:rFonts w:ascii="仿宋" w:eastAsia="仿宋" w:hAnsi="仿宋"/>
          <w:noProof/>
          <w:szCs w:val="28"/>
        </w:rPr>
      </w:pPr>
      <w:r>
        <w:rPr>
          <w:rFonts w:ascii="仿宋" w:eastAsia="仿宋" w:hAnsi="仿宋" w:hint="eastAsia"/>
          <w:b/>
          <w:sz w:val="44"/>
          <w:szCs w:val="24"/>
        </w:rPr>
        <w:lastRenderedPageBreak/>
        <w:t>目  录</w:t>
      </w:r>
      <w:r w:rsidR="005254DE">
        <w:rPr>
          <w:rFonts w:ascii="仿宋" w:eastAsia="仿宋" w:hAnsi="仿宋"/>
          <w:b/>
          <w:szCs w:val="28"/>
        </w:rPr>
        <w:fldChar w:fldCharType="begin"/>
      </w:r>
      <w:r>
        <w:rPr>
          <w:rFonts w:ascii="仿宋" w:eastAsia="仿宋" w:hAnsi="仿宋"/>
          <w:b/>
          <w:szCs w:val="28"/>
        </w:rPr>
        <w:instrText xml:space="preserve"> </w:instrText>
      </w:r>
      <w:r>
        <w:rPr>
          <w:rFonts w:ascii="仿宋" w:eastAsia="仿宋" w:hAnsi="仿宋" w:hint="eastAsia"/>
          <w:b/>
          <w:szCs w:val="28"/>
        </w:rPr>
        <w:instrText>TOC \o "1-3" \h \z \u</w:instrText>
      </w:r>
      <w:r>
        <w:rPr>
          <w:rFonts w:ascii="仿宋" w:eastAsia="仿宋" w:hAnsi="仿宋"/>
          <w:b/>
          <w:szCs w:val="28"/>
        </w:rPr>
        <w:instrText xml:space="preserve"> </w:instrText>
      </w:r>
      <w:r w:rsidR="005254DE">
        <w:rPr>
          <w:rFonts w:ascii="仿宋" w:eastAsia="仿宋" w:hAnsi="仿宋"/>
          <w:b/>
          <w:szCs w:val="28"/>
        </w:rPr>
        <w:fldChar w:fldCharType="separate"/>
      </w:r>
    </w:p>
    <w:p w:rsidR="00650903" w:rsidRDefault="00060117">
      <w:pPr>
        <w:pStyle w:val="1"/>
        <w:tabs>
          <w:tab w:val="clear" w:pos="8302"/>
          <w:tab w:val="right" w:leader="dot" w:pos="8306"/>
        </w:tabs>
        <w:rPr>
          <w:noProof/>
        </w:rPr>
      </w:pPr>
      <w:hyperlink w:anchor="_Toc3696" w:history="1">
        <w:r w:rsidR="000F6F95">
          <w:rPr>
            <w:rFonts w:hAnsi="黑体" w:cs="黑体" w:hint="eastAsia"/>
            <w:noProof/>
            <w:szCs w:val="32"/>
          </w:rPr>
          <w:t>一、基本情况</w:t>
        </w:r>
        <w:r w:rsidR="000F6F95">
          <w:rPr>
            <w:noProof/>
          </w:rPr>
          <w:tab/>
        </w:r>
        <w:r w:rsidR="005254DE">
          <w:rPr>
            <w:noProof/>
          </w:rPr>
          <w:fldChar w:fldCharType="begin"/>
        </w:r>
        <w:r w:rsidR="000F6F95">
          <w:rPr>
            <w:noProof/>
          </w:rPr>
          <w:instrText xml:space="preserve"> PAGEREF _Toc3696 \h </w:instrText>
        </w:r>
        <w:r w:rsidR="005254DE">
          <w:rPr>
            <w:noProof/>
          </w:rPr>
        </w:r>
        <w:r w:rsidR="005254DE">
          <w:rPr>
            <w:noProof/>
          </w:rPr>
          <w:fldChar w:fldCharType="separate"/>
        </w:r>
        <w:r w:rsidR="0025481D">
          <w:rPr>
            <w:noProof/>
          </w:rPr>
          <w:t>1</w:t>
        </w:r>
        <w:r w:rsidR="005254DE">
          <w:rPr>
            <w:noProof/>
          </w:rPr>
          <w:fldChar w:fldCharType="end"/>
        </w:r>
      </w:hyperlink>
    </w:p>
    <w:p w:rsidR="00650903" w:rsidRDefault="00060117">
      <w:pPr>
        <w:pStyle w:val="2"/>
        <w:tabs>
          <w:tab w:val="right" w:leader="dot" w:pos="8306"/>
        </w:tabs>
        <w:ind w:left="560" w:firstLine="560"/>
        <w:rPr>
          <w:noProof/>
        </w:rPr>
      </w:pPr>
      <w:hyperlink w:anchor="_Toc15862" w:history="1">
        <w:r w:rsidR="000F6F95">
          <w:rPr>
            <w:rFonts w:ascii="仿宋_GB2312" w:hAnsi="仿宋_GB2312" w:cs="仿宋_GB2312" w:hint="eastAsia"/>
            <w:noProof/>
            <w:szCs w:val="32"/>
          </w:rPr>
          <w:t>（一）项目概况</w:t>
        </w:r>
        <w:r w:rsidR="000F6F95">
          <w:rPr>
            <w:noProof/>
          </w:rPr>
          <w:tab/>
        </w:r>
        <w:r w:rsidR="005254DE">
          <w:rPr>
            <w:noProof/>
          </w:rPr>
          <w:fldChar w:fldCharType="begin"/>
        </w:r>
        <w:r w:rsidR="000F6F95">
          <w:rPr>
            <w:noProof/>
          </w:rPr>
          <w:instrText xml:space="preserve"> PAGEREF _Toc15862 \h </w:instrText>
        </w:r>
        <w:r w:rsidR="005254DE">
          <w:rPr>
            <w:noProof/>
          </w:rPr>
        </w:r>
        <w:r w:rsidR="005254DE">
          <w:rPr>
            <w:noProof/>
          </w:rPr>
          <w:fldChar w:fldCharType="separate"/>
        </w:r>
        <w:r w:rsidR="0025481D">
          <w:rPr>
            <w:noProof/>
          </w:rPr>
          <w:t>1</w:t>
        </w:r>
        <w:r w:rsidR="005254DE">
          <w:rPr>
            <w:noProof/>
          </w:rPr>
          <w:fldChar w:fldCharType="end"/>
        </w:r>
      </w:hyperlink>
    </w:p>
    <w:p w:rsidR="00650903" w:rsidRDefault="00060117">
      <w:pPr>
        <w:pStyle w:val="2"/>
        <w:tabs>
          <w:tab w:val="right" w:leader="dot" w:pos="8306"/>
        </w:tabs>
        <w:ind w:left="560" w:firstLine="560"/>
        <w:rPr>
          <w:noProof/>
        </w:rPr>
      </w:pPr>
      <w:hyperlink w:anchor="_Toc25301" w:history="1">
        <w:r w:rsidR="000F6F95">
          <w:rPr>
            <w:rFonts w:ascii="仿宋_GB2312" w:hAnsi="仿宋_GB2312" w:cs="仿宋_GB2312" w:hint="eastAsia"/>
            <w:noProof/>
            <w:szCs w:val="32"/>
          </w:rPr>
          <w:t>（二）项目绩效目标</w:t>
        </w:r>
        <w:r w:rsidR="000F6F95">
          <w:rPr>
            <w:noProof/>
          </w:rPr>
          <w:tab/>
        </w:r>
      </w:hyperlink>
      <w:r w:rsidR="000F6F95">
        <w:rPr>
          <w:rFonts w:hint="eastAsia"/>
          <w:noProof/>
        </w:rPr>
        <w:t>3</w:t>
      </w:r>
    </w:p>
    <w:p w:rsidR="00650903" w:rsidRDefault="00060117">
      <w:pPr>
        <w:pStyle w:val="1"/>
        <w:tabs>
          <w:tab w:val="clear" w:pos="8302"/>
          <w:tab w:val="right" w:leader="dot" w:pos="8306"/>
        </w:tabs>
        <w:rPr>
          <w:noProof/>
        </w:rPr>
      </w:pPr>
      <w:hyperlink w:anchor="_Toc24079" w:history="1">
        <w:r w:rsidR="000F6F95">
          <w:rPr>
            <w:rFonts w:hAnsi="黑体" w:cs="黑体" w:hint="eastAsia"/>
            <w:noProof/>
            <w:szCs w:val="32"/>
          </w:rPr>
          <w:t>二、绩效评价工作开展情况</w:t>
        </w:r>
        <w:r w:rsidR="000F6F95">
          <w:rPr>
            <w:noProof/>
          </w:rPr>
          <w:tab/>
        </w:r>
      </w:hyperlink>
      <w:r w:rsidR="000F6F95">
        <w:rPr>
          <w:rFonts w:hint="eastAsia"/>
          <w:noProof/>
        </w:rPr>
        <w:t>4</w:t>
      </w:r>
    </w:p>
    <w:p w:rsidR="00650903" w:rsidRDefault="00060117">
      <w:pPr>
        <w:pStyle w:val="2"/>
        <w:tabs>
          <w:tab w:val="right" w:leader="dot" w:pos="8306"/>
        </w:tabs>
        <w:ind w:left="560" w:firstLine="560"/>
        <w:rPr>
          <w:noProof/>
        </w:rPr>
      </w:pPr>
      <w:hyperlink w:anchor="_Toc25168" w:history="1">
        <w:r w:rsidR="000F6F95">
          <w:rPr>
            <w:rFonts w:ascii="仿宋_GB2312" w:hAnsi="仿宋_GB2312" w:cs="仿宋_GB2312" w:hint="eastAsia"/>
            <w:noProof/>
            <w:szCs w:val="32"/>
          </w:rPr>
          <w:t>（一）绩效评价目的、对象和范围</w:t>
        </w:r>
        <w:r w:rsidR="000F6F95">
          <w:rPr>
            <w:noProof/>
          </w:rPr>
          <w:tab/>
        </w:r>
      </w:hyperlink>
      <w:r w:rsidR="000F6F95">
        <w:rPr>
          <w:rFonts w:hint="eastAsia"/>
          <w:noProof/>
        </w:rPr>
        <w:t>4</w:t>
      </w:r>
    </w:p>
    <w:p w:rsidR="00650903" w:rsidRDefault="00060117">
      <w:pPr>
        <w:pStyle w:val="2"/>
        <w:tabs>
          <w:tab w:val="right" w:leader="dot" w:pos="8306"/>
        </w:tabs>
        <w:ind w:left="560" w:firstLine="560"/>
        <w:rPr>
          <w:noProof/>
        </w:rPr>
      </w:pPr>
      <w:hyperlink w:anchor="_Toc6515" w:history="1">
        <w:r w:rsidR="000F6F95">
          <w:rPr>
            <w:rFonts w:ascii="仿宋_GB2312" w:hAnsi="仿宋_GB2312" w:cs="仿宋_GB2312" w:hint="eastAsia"/>
            <w:noProof/>
            <w:szCs w:val="32"/>
          </w:rPr>
          <w:t>（二）绩效评价原则、评价指标体系（附表说明）、评价方法、评价标准等</w:t>
        </w:r>
        <w:r w:rsidR="000F6F95">
          <w:rPr>
            <w:noProof/>
          </w:rPr>
          <w:tab/>
        </w:r>
      </w:hyperlink>
      <w:r w:rsidR="000F6F95">
        <w:rPr>
          <w:rFonts w:hint="eastAsia"/>
          <w:noProof/>
        </w:rPr>
        <w:t>5</w:t>
      </w:r>
    </w:p>
    <w:p w:rsidR="00650903" w:rsidRDefault="00060117">
      <w:pPr>
        <w:pStyle w:val="2"/>
        <w:tabs>
          <w:tab w:val="right" w:leader="dot" w:pos="8306"/>
        </w:tabs>
        <w:ind w:left="560" w:firstLine="560"/>
        <w:rPr>
          <w:noProof/>
        </w:rPr>
      </w:pPr>
      <w:hyperlink w:anchor="_Toc30534" w:history="1">
        <w:r w:rsidR="000F6F95">
          <w:rPr>
            <w:rFonts w:ascii="仿宋_GB2312" w:hAnsi="仿宋_GB2312" w:cs="仿宋_GB2312" w:hint="eastAsia"/>
            <w:noProof/>
            <w:szCs w:val="32"/>
          </w:rPr>
          <w:t>（三）绩效评价工作过程</w:t>
        </w:r>
        <w:r w:rsidR="000F6F95">
          <w:rPr>
            <w:noProof/>
          </w:rPr>
          <w:tab/>
        </w:r>
      </w:hyperlink>
      <w:r w:rsidR="000F6F95">
        <w:rPr>
          <w:rFonts w:hint="eastAsia"/>
          <w:noProof/>
        </w:rPr>
        <w:t>9</w:t>
      </w:r>
    </w:p>
    <w:p w:rsidR="00650903" w:rsidRDefault="00060117">
      <w:pPr>
        <w:pStyle w:val="1"/>
        <w:tabs>
          <w:tab w:val="clear" w:pos="8302"/>
          <w:tab w:val="right" w:leader="dot" w:pos="8306"/>
        </w:tabs>
        <w:rPr>
          <w:noProof/>
        </w:rPr>
      </w:pPr>
      <w:hyperlink w:anchor="_Toc10059" w:history="1">
        <w:r w:rsidR="000F6F95">
          <w:rPr>
            <w:rFonts w:hAnsi="黑体" w:cs="黑体" w:hint="eastAsia"/>
            <w:noProof/>
            <w:szCs w:val="32"/>
          </w:rPr>
          <w:t>三、综合评价情况及评价结论（附相关评分表）</w:t>
        </w:r>
        <w:r w:rsidR="000F6F95">
          <w:rPr>
            <w:noProof/>
          </w:rPr>
          <w:tab/>
        </w:r>
        <w:r w:rsidR="005254DE">
          <w:rPr>
            <w:noProof/>
          </w:rPr>
          <w:fldChar w:fldCharType="begin"/>
        </w:r>
        <w:r w:rsidR="000F6F95">
          <w:rPr>
            <w:noProof/>
          </w:rPr>
          <w:instrText xml:space="preserve"> PAGEREF _Toc10059 \h </w:instrText>
        </w:r>
        <w:r w:rsidR="005254DE">
          <w:rPr>
            <w:noProof/>
          </w:rPr>
        </w:r>
        <w:r w:rsidR="005254DE">
          <w:rPr>
            <w:noProof/>
          </w:rPr>
          <w:fldChar w:fldCharType="separate"/>
        </w:r>
        <w:r w:rsidR="0025481D">
          <w:rPr>
            <w:noProof/>
          </w:rPr>
          <w:t>10</w:t>
        </w:r>
        <w:r w:rsidR="005254DE">
          <w:rPr>
            <w:noProof/>
          </w:rPr>
          <w:fldChar w:fldCharType="end"/>
        </w:r>
      </w:hyperlink>
    </w:p>
    <w:p w:rsidR="00650903" w:rsidRDefault="00060117">
      <w:pPr>
        <w:pStyle w:val="1"/>
        <w:tabs>
          <w:tab w:val="clear" w:pos="8302"/>
          <w:tab w:val="right" w:leader="dot" w:pos="8306"/>
        </w:tabs>
        <w:rPr>
          <w:noProof/>
        </w:rPr>
      </w:pPr>
      <w:hyperlink w:anchor="_Toc303" w:history="1">
        <w:r w:rsidR="000F6F95">
          <w:rPr>
            <w:rFonts w:hAnsi="黑体" w:cs="黑体" w:hint="eastAsia"/>
            <w:noProof/>
            <w:szCs w:val="32"/>
          </w:rPr>
          <w:t>四、绩效评价指标分析</w:t>
        </w:r>
        <w:r w:rsidR="000F6F95">
          <w:rPr>
            <w:noProof/>
          </w:rPr>
          <w:tab/>
        </w:r>
        <w:r w:rsidR="005254DE">
          <w:rPr>
            <w:noProof/>
          </w:rPr>
          <w:fldChar w:fldCharType="begin"/>
        </w:r>
        <w:r w:rsidR="000F6F95">
          <w:rPr>
            <w:noProof/>
          </w:rPr>
          <w:instrText xml:space="preserve"> PAGEREF _Toc303 \h </w:instrText>
        </w:r>
        <w:r w:rsidR="005254DE">
          <w:rPr>
            <w:noProof/>
          </w:rPr>
        </w:r>
        <w:r w:rsidR="005254DE">
          <w:rPr>
            <w:noProof/>
          </w:rPr>
          <w:fldChar w:fldCharType="separate"/>
        </w:r>
        <w:r w:rsidR="0025481D">
          <w:rPr>
            <w:noProof/>
          </w:rPr>
          <w:t>11</w:t>
        </w:r>
        <w:r w:rsidR="005254DE">
          <w:rPr>
            <w:noProof/>
          </w:rPr>
          <w:fldChar w:fldCharType="end"/>
        </w:r>
      </w:hyperlink>
    </w:p>
    <w:p w:rsidR="00650903" w:rsidRDefault="00060117">
      <w:pPr>
        <w:pStyle w:val="2"/>
        <w:tabs>
          <w:tab w:val="right" w:leader="dot" w:pos="8306"/>
        </w:tabs>
        <w:ind w:left="560" w:firstLine="560"/>
        <w:rPr>
          <w:noProof/>
        </w:rPr>
      </w:pPr>
      <w:hyperlink w:anchor="_Toc8793" w:history="1">
        <w:r w:rsidR="000F6F95">
          <w:rPr>
            <w:rFonts w:ascii="仿宋_GB2312" w:hAnsi="仿宋_GB2312" w:cs="仿宋_GB2312" w:hint="eastAsia"/>
            <w:noProof/>
            <w:szCs w:val="32"/>
          </w:rPr>
          <w:t>（一）项目决策情况</w:t>
        </w:r>
        <w:r w:rsidR="000F6F95">
          <w:rPr>
            <w:noProof/>
          </w:rPr>
          <w:tab/>
        </w:r>
        <w:r w:rsidR="005254DE">
          <w:rPr>
            <w:noProof/>
          </w:rPr>
          <w:fldChar w:fldCharType="begin"/>
        </w:r>
        <w:r w:rsidR="000F6F95">
          <w:rPr>
            <w:noProof/>
          </w:rPr>
          <w:instrText xml:space="preserve"> PAGEREF _Toc8793 \h </w:instrText>
        </w:r>
        <w:r w:rsidR="005254DE">
          <w:rPr>
            <w:noProof/>
          </w:rPr>
        </w:r>
        <w:r w:rsidR="005254DE">
          <w:rPr>
            <w:noProof/>
          </w:rPr>
          <w:fldChar w:fldCharType="separate"/>
        </w:r>
        <w:r w:rsidR="0025481D">
          <w:rPr>
            <w:noProof/>
          </w:rPr>
          <w:t>11</w:t>
        </w:r>
        <w:r w:rsidR="005254DE">
          <w:rPr>
            <w:noProof/>
          </w:rPr>
          <w:fldChar w:fldCharType="end"/>
        </w:r>
      </w:hyperlink>
    </w:p>
    <w:p w:rsidR="00650903" w:rsidRDefault="00060117">
      <w:pPr>
        <w:pStyle w:val="2"/>
        <w:tabs>
          <w:tab w:val="right" w:leader="dot" w:pos="8306"/>
        </w:tabs>
        <w:ind w:left="560" w:firstLine="560"/>
        <w:rPr>
          <w:noProof/>
        </w:rPr>
      </w:pPr>
      <w:hyperlink w:anchor="_Toc11338" w:history="1">
        <w:r w:rsidR="000F6F95">
          <w:rPr>
            <w:rFonts w:ascii="仿宋_GB2312" w:hAnsi="仿宋_GB2312" w:cs="仿宋_GB2312" w:hint="eastAsia"/>
            <w:noProof/>
            <w:kern w:val="0"/>
            <w:szCs w:val="32"/>
          </w:rPr>
          <w:t>（二）项目过程情况</w:t>
        </w:r>
        <w:r w:rsidR="000F6F95">
          <w:rPr>
            <w:noProof/>
          </w:rPr>
          <w:tab/>
        </w:r>
        <w:r w:rsidR="005254DE">
          <w:rPr>
            <w:noProof/>
          </w:rPr>
          <w:fldChar w:fldCharType="begin"/>
        </w:r>
        <w:r w:rsidR="000F6F95">
          <w:rPr>
            <w:noProof/>
          </w:rPr>
          <w:instrText xml:space="preserve"> PAGEREF _Toc11338 \h </w:instrText>
        </w:r>
        <w:r w:rsidR="005254DE">
          <w:rPr>
            <w:noProof/>
          </w:rPr>
        </w:r>
        <w:r w:rsidR="005254DE">
          <w:rPr>
            <w:noProof/>
          </w:rPr>
          <w:fldChar w:fldCharType="separate"/>
        </w:r>
        <w:r w:rsidR="0025481D">
          <w:rPr>
            <w:noProof/>
          </w:rPr>
          <w:t>13</w:t>
        </w:r>
        <w:r w:rsidR="005254DE">
          <w:rPr>
            <w:noProof/>
          </w:rPr>
          <w:fldChar w:fldCharType="end"/>
        </w:r>
      </w:hyperlink>
    </w:p>
    <w:p w:rsidR="00650903" w:rsidRDefault="00060117">
      <w:pPr>
        <w:pStyle w:val="2"/>
        <w:tabs>
          <w:tab w:val="right" w:leader="dot" w:pos="8306"/>
        </w:tabs>
        <w:ind w:left="560" w:firstLine="560"/>
        <w:rPr>
          <w:noProof/>
        </w:rPr>
      </w:pPr>
      <w:hyperlink w:anchor="_Toc6236" w:history="1">
        <w:r w:rsidR="000F6F95">
          <w:rPr>
            <w:rFonts w:ascii="仿宋_GB2312" w:hAnsi="仿宋_GB2312" w:cs="仿宋_GB2312" w:hint="eastAsia"/>
            <w:noProof/>
            <w:szCs w:val="32"/>
          </w:rPr>
          <w:t>（三）项目产出情况</w:t>
        </w:r>
        <w:r w:rsidR="000F6F95">
          <w:rPr>
            <w:noProof/>
          </w:rPr>
          <w:tab/>
        </w:r>
        <w:r w:rsidR="005254DE">
          <w:rPr>
            <w:noProof/>
          </w:rPr>
          <w:fldChar w:fldCharType="begin"/>
        </w:r>
        <w:r w:rsidR="000F6F95">
          <w:rPr>
            <w:noProof/>
          </w:rPr>
          <w:instrText xml:space="preserve"> PAGEREF _Toc6236 \h </w:instrText>
        </w:r>
        <w:r w:rsidR="005254DE">
          <w:rPr>
            <w:noProof/>
          </w:rPr>
        </w:r>
        <w:r w:rsidR="005254DE">
          <w:rPr>
            <w:noProof/>
          </w:rPr>
          <w:fldChar w:fldCharType="separate"/>
        </w:r>
        <w:r w:rsidR="0025481D">
          <w:rPr>
            <w:noProof/>
          </w:rPr>
          <w:t>15</w:t>
        </w:r>
        <w:r w:rsidR="005254DE">
          <w:rPr>
            <w:noProof/>
          </w:rPr>
          <w:fldChar w:fldCharType="end"/>
        </w:r>
      </w:hyperlink>
    </w:p>
    <w:p w:rsidR="00650903" w:rsidRDefault="00060117">
      <w:pPr>
        <w:pStyle w:val="2"/>
        <w:tabs>
          <w:tab w:val="right" w:leader="dot" w:pos="8303"/>
        </w:tabs>
        <w:spacing w:line="240" w:lineRule="auto"/>
        <w:ind w:left="560" w:firstLine="560"/>
        <w:rPr>
          <w:noProof/>
        </w:rPr>
      </w:pPr>
      <w:hyperlink w:anchor="_Toc70879788" w:history="1">
        <w:r w:rsidR="000F6F95">
          <w:rPr>
            <w:rFonts w:hint="eastAsia"/>
            <w:noProof/>
          </w:rPr>
          <w:t>（四）项目效益情况</w:t>
        </w:r>
        <w:r w:rsidR="000F6F95">
          <w:rPr>
            <w:noProof/>
          </w:rPr>
          <w:tab/>
        </w:r>
        <w:r w:rsidR="005254DE">
          <w:rPr>
            <w:noProof/>
          </w:rPr>
          <w:fldChar w:fldCharType="begin"/>
        </w:r>
        <w:r w:rsidR="000F6F95">
          <w:rPr>
            <w:noProof/>
          </w:rPr>
          <w:instrText xml:space="preserve"> PAGEREF _Toc70879788 \h </w:instrText>
        </w:r>
        <w:r w:rsidR="005254DE">
          <w:rPr>
            <w:noProof/>
          </w:rPr>
        </w:r>
        <w:r w:rsidR="005254DE">
          <w:rPr>
            <w:noProof/>
          </w:rPr>
          <w:fldChar w:fldCharType="separate"/>
        </w:r>
        <w:r w:rsidR="0025481D">
          <w:rPr>
            <w:noProof/>
          </w:rPr>
          <w:t>18</w:t>
        </w:r>
        <w:r w:rsidR="005254DE">
          <w:rPr>
            <w:noProof/>
          </w:rPr>
          <w:fldChar w:fldCharType="end"/>
        </w:r>
      </w:hyperlink>
    </w:p>
    <w:p w:rsidR="00650903" w:rsidRDefault="00060117">
      <w:pPr>
        <w:pStyle w:val="1"/>
        <w:tabs>
          <w:tab w:val="clear" w:pos="8302"/>
          <w:tab w:val="right" w:leader="dot" w:pos="8306"/>
        </w:tabs>
        <w:ind w:left="0" w:firstLineChars="200" w:firstLine="560"/>
        <w:rPr>
          <w:noProof/>
        </w:rPr>
      </w:pPr>
      <w:hyperlink w:anchor="_Toc32747" w:history="1">
        <w:r w:rsidR="000F6F95">
          <w:rPr>
            <w:rFonts w:hAnsi="黑体" w:cs="黑体" w:hint="eastAsia"/>
            <w:noProof/>
            <w:szCs w:val="32"/>
          </w:rPr>
          <w:t>五、主要经验及做法、存在的问题及原因分析</w:t>
        </w:r>
        <w:r w:rsidR="000F6F95">
          <w:rPr>
            <w:noProof/>
          </w:rPr>
          <w:tab/>
        </w:r>
        <w:r w:rsidR="000F6F95">
          <w:rPr>
            <w:rFonts w:hint="eastAsia"/>
            <w:noProof/>
          </w:rPr>
          <w:t>19</w:t>
        </w:r>
      </w:hyperlink>
    </w:p>
    <w:p w:rsidR="00650903" w:rsidRDefault="00060117">
      <w:pPr>
        <w:pStyle w:val="2"/>
        <w:tabs>
          <w:tab w:val="right" w:leader="dot" w:pos="8306"/>
        </w:tabs>
        <w:ind w:left="560" w:firstLine="560"/>
        <w:rPr>
          <w:noProof/>
        </w:rPr>
      </w:pPr>
      <w:hyperlink w:anchor="_Toc10654" w:history="1">
        <w:r w:rsidR="000F6F95">
          <w:rPr>
            <w:rFonts w:ascii="仿宋_GB2312" w:hAnsi="仿宋_GB2312" w:cs="仿宋_GB2312" w:hint="eastAsia"/>
            <w:noProof/>
            <w:szCs w:val="32"/>
          </w:rPr>
          <w:t>（一）主要经验</w:t>
        </w:r>
        <w:r w:rsidR="000F6F95">
          <w:rPr>
            <w:noProof/>
          </w:rPr>
          <w:tab/>
        </w:r>
        <w:r w:rsidR="000F6F95">
          <w:rPr>
            <w:rFonts w:hint="eastAsia"/>
            <w:noProof/>
          </w:rPr>
          <w:t>19</w:t>
        </w:r>
      </w:hyperlink>
    </w:p>
    <w:p w:rsidR="00650903" w:rsidRDefault="00060117">
      <w:pPr>
        <w:pStyle w:val="2"/>
        <w:tabs>
          <w:tab w:val="right" w:leader="dot" w:pos="8306"/>
        </w:tabs>
        <w:ind w:left="560" w:firstLine="560"/>
        <w:rPr>
          <w:noProof/>
        </w:rPr>
      </w:pPr>
      <w:hyperlink w:anchor="_Toc8276" w:history="1">
        <w:r w:rsidR="000F6F95">
          <w:rPr>
            <w:rFonts w:ascii="仿宋_GB2312" w:hAnsi="仿宋_GB2312" w:cs="仿宋_GB2312" w:hint="eastAsia"/>
            <w:noProof/>
            <w:szCs w:val="32"/>
          </w:rPr>
          <w:t>（二）存在的问题及原因分析</w:t>
        </w:r>
        <w:r w:rsidR="000F6F95">
          <w:rPr>
            <w:noProof/>
          </w:rPr>
          <w:tab/>
        </w:r>
        <w:r w:rsidR="000F6F95">
          <w:rPr>
            <w:rFonts w:hint="eastAsia"/>
            <w:noProof/>
          </w:rPr>
          <w:t>19</w:t>
        </w:r>
      </w:hyperlink>
    </w:p>
    <w:p w:rsidR="00650903" w:rsidRDefault="00060117">
      <w:pPr>
        <w:pStyle w:val="1"/>
        <w:tabs>
          <w:tab w:val="clear" w:pos="8302"/>
          <w:tab w:val="right" w:leader="dot" w:pos="8306"/>
        </w:tabs>
        <w:rPr>
          <w:noProof/>
        </w:rPr>
      </w:pPr>
      <w:hyperlink w:anchor="_Toc25077" w:history="1">
        <w:r w:rsidR="000F6F95">
          <w:rPr>
            <w:rFonts w:hAnsi="黑体" w:cs="黑体" w:hint="eastAsia"/>
            <w:noProof/>
            <w:szCs w:val="32"/>
          </w:rPr>
          <w:t>六、有关建议</w:t>
        </w:r>
        <w:r w:rsidR="000F6F95">
          <w:rPr>
            <w:noProof/>
          </w:rPr>
          <w:tab/>
        </w:r>
        <w:r w:rsidR="005254DE">
          <w:rPr>
            <w:noProof/>
          </w:rPr>
          <w:fldChar w:fldCharType="begin"/>
        </w:r>
        <w:r w:rsidR="000F6F95">
          <w:rPr>
            <w:noProof/>
          </w:rPr>
          <w:instrText xml:space="preserve"> PAGEREF _Toc25077 \h </w:instrText>
        </w:r>
        <w:r w:rsidR="005254DE">
          <w:rPr>
            <w:noProof/>
          </w:rPr>
        </w:r>
        <w:r w:rsidR="005254DE">
          <w:rPr>
            <w:noProof/>
          </w:rPr>
          <w:fldChar w:fldCharType="separate"/>
        </w:r>
        <w:r w:rsidR="0025481D">
          <w:rPr>
            <w:noProof/>
          </w:rPr>
          <w:t>20</w:t>
        </w:r>
        <w:r w:rsidR="005254DE">
          <w:rPr>
            <w:noProof/>
          </w:rPr>
          <w:fldChar w:fldCharType="end"/>
        </w:r>
      </w:hyperlink>
    </w:p>
    <w:p w:rsidR="00650903" w:rsidRDefault="00060117">
      <w:pPr>
        <w:pStyle w:val="1"/>
        <w:tabs>
          <w:tab w:val="clear" w:pos="8302"/>
          <w:tab w:val="right" w:leader="dot" w:pos="8306"/>
        </w:tabs>
        <w:rPr>
          <w:noProof/>
        </w:rPr>
      </w:pPr>
      <w:hyperlink w:anchor="_Toc26678" w:history="1">
        <w:r w:rsidR="000F6F95">
          <w:rPr>
            <w:rFonts w:hAnsi="黑体" w:cs="黑体" w:hint="eastAsia"/>
            <w:noProof/>
            <w:szCs w:val="32"/>
          </w:rPr>
          <w:t>七、其他需要说明的问题</w:t>
        </w:r>
        <w:r w:rsidR="000F6F95">
          <w:rPr>
            <w:noProof/>
          </w:rPr>
          <w:tab/>
        </w:r>
        <w:r w:rsidR="005254DE">
          <w:rPr>
            <w:noProof/>
          </w:rPr>
          <w:fldChar w:fldCharType="begin"/>
        </w:r>
        <w:r w:rsidR="000F6F95">
          <w:rPr>
            <w:noProof/>
          </w:rPr>
          <w:instrText xml:space="preserve"> PAGEREF _Toc26678 \h </w:instrText>
        </w:r>
        <w:r w:rsidR="005254DE">
          <w:rPr>
            <w:noProof/>
          </w:rPr>
        </w:r>
        <w:r w:rsidR="005254DE">
          <w:rPr>
            <w:noProof/>
          </w:rPr>
          <w:fldChar w:fldCharType="separate"/>
        </w:r>
        <w:r w:rsidR="0025481D">
          <w:rPr>
            <w:noProof/>
          </w:rPr>
          <w:t>21</w:t>
        </w:r>
        <w:r w:rsidR="005254DE">
          <w:rPr>
            <w:noProof/>
          </w:rPr>
          <w:fldChar w:fldCharType="end"/>
        </w:r>
      </w:hyperlink>
    </w:p>
    <w:p w:rsidR="00650903" w:rsidRDefault="005254DE" w:rsidP="0025481D">
      <w:pPr>
        <w:spacing w:afterLines="100" w:after="312" w:line="360" w:lineRule="auto"/>
        <w:ind w:firstLineChars="0" w:firstLine="0"/>
        <w:jc w:val="center"/>
        <w:rPr>
          <w:rFonts w:ascii="仿宋" w:eastAsia="仿宋" w:hAnsi="仿宋"/>
          <w:szCs w:val="28"/>
        </w:rPr>
      </w:pPr>
      <w:r>
        <w:rPr>
          <w:rFonts w:ascii="仿宋" w:eastAsia="仿宋" w:hAnsi="仿宋"/>
          <w:szCs w:val="28"/>
        </w:rPr>
        <w:fldChar w:fldCharType="end"/>
      </w:r>
    </w:p>
    <w:p w:rsidR="00650903" w:rsidRDefault="00650903">
      <w:pPr>
        <w:ind w:firstLineChars="0" w:firstLine="0"/>
        <w:sectPr w:rsidR="00650903">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851" w:footer="992" w:gutter="0"/>
          <w:cols w:space="425"/>
          <w:docGrid w:type="lines" w:linePitch="312"/>
        </w:sectPr>
      </w:pPr>
    </w:p>
    <w:p w:rsidR="00650903" w:rsidRDefault="000F6F95">
      <w:pPr>
        <w:spacing w:line="580" w:lineRule="exact"/>
        <w:ind w:firstLineChars="0" w:firstLine="0"/>
        <w:jc w:val="center"/>
        <w:rPr>
          <w:rFonts w:ascii="方正小标宋简体" w:eastAsia="方正小标宋简体" w:hAnsi="方正小标宋简体" w:cs="方正小标宋简体"/>
          <w:b/>
          <w:sz w:val="44"/>
          <w:szCs w:val="44"/>
        </w:rPr>
      </w:pPr>
      <w:r>
        <w:rPr>
          <w:rFonts w:ascii="方正小标宋简体" w:eastAsia="方正小标宋简体" w:hAnsi="方正小标宋简体" w:cs="方正小标宋简体" w:hint="eastAsia"/>
          <w:b/>
          <w:sz w:val="44"/>
          <w:szCs w:val="44"/>
        </w:rPr>
        <w:lastRenderedPageBreak/>
        <w:t>“政府供养保障对象生活费”项目支出</w:t>
      </w:r>
    </w:p>
    <w:p w:rsidR="00650903" w:rsidRDefault="000F6F95">
      <w:pPr>
        <w:spacing w:line="580" w:lineRule="exact"/>
        <w:ind w:firstLineChars="0" w:firstLine="0"/>
        <w:jc w:val="center"/>
        <w:rPr>
          <w:rFonts w:ascii="方正小标宋简体" w:eastAsia="方正小标宋简体" w:hAnsi="方正小标宋简体" w:cs="方正小标宋简体"/>
          <w:b/>
          <w:sz w:val="44"/>
          <w:szCs w:val="44"/>
        </w:rPr>
      </w:pPr>
      <w:r>
        <w:rPr>
          <w:rFonts w:ascii="方正小标宋简体" w:eastAsia="方正小标宋简体" w:hAnsi="方正小标宋简体" w:cs="方正小标宋简体" w:hint="eastAsia"/>
          <w:b/>
          <w:sz w:val="44"/>
          <w:szCs w:val="44"/>
        </w:rPr>
        <w:t>绩效评价报告</w:t>
      </w:r>
    </w:p>
    <w:p w:rsidR="00650903" w:rsidRDefault="00650903">
      <w:pPr>
        <w:spacing w:line="540" w:lineRule="exact"/>
        <w:ind w:firstLine="640"/>
        <w:rPr>
          <w:rFonts w:ascii="仿宋" w:eastAsia="仿宋" w:hAnsi="仿宋"/>
          <w:sz w:val="32"/>
          <w:szCs w:val="32"/>
        </w:rPr>
      </w:pP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依据《北京市财政局关于2023年推进全面实施预算绩效管理工作的预通知》中工作要求及《北京市项目支出绩效评价管理办法》（京财绩效〔2020〕2146号）等文件规定，中诚安管理咨询有限公司接受北京市社会福利事务管理中心的委托（以下简称：“市福利中心”），对北京市儿童福利院（以下简称：“市儿福”）2022年“政府供养保障对象生活费”项目进行绩效评价，形成本绩效评价报告。</w:t>
      </w:r>
    </w:p>
    <w:p w:rsidR="00650903" w:rsidRDefault="000F6F95" w:rsidP="0025481D">
      <w:pPr>
        <w:adjustRightInd w:val="0"/>
        <w:snapToGrid w:val="0"/>
        <w:spacing w:beforeLines="50" w:before="156" w:afterLines="50" w:after="156" w:line="540" w:lineRule="exact"/>
        <w:ind w:firstLine="640"/>
        <w:outlineLvl w:val="0"/>
        <w:rPr>
          <w:rFonts w:ascii="黑体" w:eastAsia="黑体" w:hAnsi="黑体" w:cs="黑体"/>
          <w:sz w:val="32"/>
          <w:szCs w:val="32"/>
        </w:rPr>
      </w:pPr>
      <w:bookmarkStart w:id="0" w:name="_Toc3696"/>
      <w:bookmarkStart w:id="1" w:name="_Toc482788955"/>
      <w:r>
        <w:rPr>
          <w:rFonts w:ascii="黑体" w:eastAsia="黑体" w:hAnsi="黑体" w:cs="黑体" w:hint="eastAsia"/>
          <w:sz w:val="32"/>
          <w:szCs w:val="32"/>
        </w:rPr>
        <w:t>一、基本情况</w:t>
      </w:r>
      <w:bookmarkEnd w:id="0"/>
      <w:bookmarkEnd w:id="1"/>
    </w:p>
    <w:p w:rsidR="00650903" w:rsidRDefault="000F6F95">
      <w:pPr>
        <w:adjustRightInd w:val="0"/>
        <w:snapToGrid w:val="0"/>
        <w:spacing w:line="540" w:lineRule="exact"/>
        <w:ind w:firstLine="640"/>
        <w:outlineLvl w:val="1"/>
        <w:rPr>
          <w:rFonts w:ascii="仿宋_GB2312" w:hAnsi="仿宋_GB2312" w:cs="仿宋_GB2312"/>
          <w:sz w:val="32"/>
          <w:szCs w:val="32"/>
        </w:rPr>
      </w:pPr>
      <w:bookmarkStart w:id="2" w:name="_Toc482788956"/>
      <w:bookmarkStart w:id="3" w:name="_Toc15862"/>
      <w:r>
        <w:rPr>
          <w:rFonts w:ascii="仿宋_GB2312" w:hAnsi="仿宋_GB2312" w:cs="仿宋_GB2312" w:hint="eastAsia"/>
          <w:sz w:val="32"/>
          <w:szCs w:val="32"/>
        </w:rPr>
        <w:t>（一）项目概况</w:t>
      </w:r>
      <w:bookmarkEnd w:id="2"/>
      <w:bookmarkEnd w:id="3"/>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1、项目实施背景及主要内容</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是北京市民政局所属的全额拨款公益一类事业单位，主要收养机场分局、天安门分局、西站分局、开发区分局、清河分局等专业分局和市公安局公交总队接警处置、送医救治的弃婴。目前，院内所有儿童均为无生活来源、无劳动能力、无法定抚养义务人的“三无”人员，且99%为残疾儿童（以下简称“孤弃儿童”）。</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随着我国经济社会快速发展，社会保障体系逐步完善，孤弃儿童的各项权益也得到了相应保障，市财政拨付专项资金用于孤弃儿童的养、教、康、治等方面，以保障生活在福利系统的孤弃儿童的基本生活需要，不断提高儿童生活、医疗、康复和教育水平，维护儿童的合法权益。</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lastRenderedPageBreak/>
        <w:t>近年来，孤弃儿童基本生活费趋于逐年提高的状态，市级主管单位先后印发了《北京市财政局关于调整2017年市属福利机构供养三无人员生活费标准的函》（京财社</w:t>
      </w:r>
      <w:r>
        <w:rPr>
          <w:rFonts w:ascii="仿宋_GB2312" w:hAnsi="仿宋_GB2312" w:cs="仿宋_GB2312" w:hint="eastAsia"/>
          <w:kern w:val="0"/>
          <w:sz w:val="32"/>
          <w:szCs w:val="32"/>
        </w:rPr>
        <w:t>〔2017〕</w:t>
      </w:r>
      <w:r>
        <w:rPr>
          <w:rFonts w:ascii="仿宋_GB2312" w:hAnsi="仿宋_GB2312" w:cs="仿宋_GB2312" w:hint="eastAsia"/>
          <w:sz w:val="32"/>
          <w:szCs w:val="32"/>
        </w:rPr>
        <w:t>1033号）《北京市财政局关于同意调整、追加市福利中心2020年项目经费预算的函》（京财社指</w:t>
      </w:r>
      <w:r>
        <w:rPr>
          <w:rFonts w:ascii="仿宋_GB2312" w:hAnsi="仿宋_GB2312" w:cs="仿宋_GB2312" w:hint="eastAsia"/>
          <w:kern w:val="0"/>
          <w:sz w:val="32"/>
          <w:szCs w:val="32"/>
        </w:rPr>
        <w:t>〔2020〕</w:t>
      </w:r>
      <w:r>
        <w:rPr>
          <w:rFonts w:ascii="仿宋_GB2312" w:hAnsi="仿宋_GB2312" w:cs="仿宋_GB2312" w:hint="eastAsia"/>
          <w:sz w:val="32"/>
          <w:szCs w:val="32"/>
        </w:rPr>
        <w:t>2180号）《北京市民政局、北京市财政局关于调整我市困境儿童生活费标准的通知》（京民儿福发</w:t>
      </w:r>
      <w:r>
        <w:rPr>
          <w:rFonts w:ascii="仿宋_GB2312" w:hAnsi="仿宋_GB2312" w:cs="仿宋_GB2312" w:hint="eastAsia"/>
          <w:kern w:val="0"/>
          <w:sz w:val="32"/>
          <w:szCs w:val="32"/>
        </w:rPr>
        <w:t>〔2021〕</w:t>
      </w:r>
      <w:r>
        <w:rPr>
          <w:rFonts w:ascii="仿宋_GB2312" w:hAnsi="仿宋_GB2312" w:cs="仿宋_GB2312" w:hint="eastAsia"/>
          <w:sz w:val="32"/>
          <w:szCs w:val="32"/>
        </w:rPr>
        <w:t>168号）等文件，对孤弃儿童的基本生活费标准按照同期城市低保标准增长比例进行调整。</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2021年9月，市儿福根据在院孤弃儿童人数，按照京民儿福发</w:t>
      </w:r>
      <w:r>
        <w:rPr>
          <w:rFonts w:ascii="仿宋_GB2312" w:hAnsi="仿宋_GB2312" w:cs="仿宋_GB2312" w:hint="eastAsia"/>
          <w:kern w:val="0"/>
          <w:sz w:val="32"/>
          <w:szCs w:val="32"/>
        </w:rPr>
        <w:t>〔2021〕</w:t>
      </w:r>
      <w:r>
        <w:rPr>
          <w:rFonts w:ascii="仿宋_GB2312" w:hAnsi="仿宋_GB2312" w:cs="仿宋_GB2312" w:hint="eastAsia"/>
          <w:sz w:val="32"/>
          <w:szCs w:val="32"/>
        </w:rPr>
        <w:t>168号文件精神及标准，申请了2022年度“政府供养保障对象生活费”项目经费。</w:t>
      </w:r>
    </w:p>
    <w:p w:rsidR="00650903" w:rsidRDefault="000F6F95">
      <w:pPr>
        <w:pStyle w:val="a0"/>
        <w:spacing w:line="540" w:lineRule="exact"/>
        <w:ind w:firstLine="640"/>
        <w:rPr>
          <w:rFonts w:ascii="仿宋_GB2312" w:hAnsi="仿宋_GB2312" w:cs="仿宋_GB2312"/>
          <w:sz w:val="32"/>
          <w:szCs w:val="32"/>
        </w:rPr>
      </w:pPr>
      <w:r>
        <w:rPr>
          <w:rFonts w:ascii="仿宋_GB2312" w:hAnsi="仿宋_GB2312" w:cs="仿宋_GB2312" w:hint="eastAsia"/>
          <w:sz w:val="32"/>
          <w:szCs w:val="32"/>
        </w:rPr>
        <w:t>该项目主要内容为：合理、科学使用孤残儿童生活费，依法保障儿童的生存权、发展权、受保护权、参与权等权利，为院内集中养育的孤弃儿童提供基本膳食和服装被褥日用品等基本生活需求、给予生活照护、医护保健，开展康复教育等，不断提高儿童生活、医疗、康复和教育水平。</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2、项目实施情况</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为保障项目顺利实施，市儿福成立了项目领导小组，由院长担任组长，业务副院长及行政、财务副院长为副组长；具体工作由院内的财务科、医务科、康教科、养育一科、养育二科、膳食科、行政科、社工科各司其职，相互配合共同实施。</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市儿福院内各科室职责分工明确，年初院内统一制定</w:t>
      </w:r>
      <w:r>
        <w:rPr>
          <w:rFonts w:ascii="仿宋_GB2312" w:hAnsi="仿宋_GB2312" w:cs="仿宋_GB2312" w:hint="eastAsia"/>
          <w:sz w:val="32"/>
          <w:szCs w:val="32"/>
        </w:rPr>
        <w:lastRenderedPageBreak/>
        <w:t>了项目总体实施方案，各科室分别按照各自的分工编写了本科室的年度工作计划或实施方案，年末对照相应工作梳理了年度工作小结。</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3、项目资金投入和使用情况</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（1）经费预算、批复情况</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项目申请预算资金790.86万元，其中：政府供养保障对象生活费（市级财政资金）666.30万元，政府供养保障对象生活费（中央资金）124.56万元。</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根据《北京市社会福利事务管理中心关于批复2022年预算的通知》（京福管计发〔2022〕10 号）文件，2022年预算批复“政府供养保障对象生活费”项目资金790.86万元于2月初到账，预算到位率为100%。</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（2）实际支出情况</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2022年度市儿福累计支出项目资金784.57万元，项目预算执行率为99.20%；其中：政府供养保障对象生活费（市级财政资金）</w:t>
      </w:r>
      <w:r>
        <w:rPr>
          <w:rFonts w:ascii="仿宋_GB2312" w:hAnsi="仿宋_GB2312" w:cs="仿宋_GB2312"/>
          <w:sz w:val="32"/>
          <w:szCs w:val="32"/>
        </w:rPr>
        <w:t>660.01万元，</w:t>
      </w:r>
      <w:r>
        <w:rPr>
          <w:rFonts w:ascii="仿宋_GB2312" w:hAnsi="仿宋_GB2312" w:cs="仿宋_GB2312" w:hint="eastAsia"/>
          <w:sz w:val="32"/>
          <w:szCs w:val="32"/>
        </w:rPr>
        <w:t>政府供养保障对象生活费（中央资金）124.56万元，项目结余资金6.29万元。</w:t>
      </w:r>
    </w:p>
    <w:p w:rsidR="00650903" w:rsidRDefault="000F6F95">
      <w:pPr>
        <w:pStyle w:val="a0"/>
        <w:spacing w:line="540" w:lineRule="exact"/>
        <w:ind w:firstLine="640"/>
        <w:outlineLvl w:val="1"/>
        <w:rPr>
          <w:rFonts w:ascii="仿宋_GB2312" w:hAnsi="仿宋_GB2312" w:cs="仿宋_GB2312"/>
          <w:sz w:val="32"/>
          <w:szCs w:val="32"/>
        </w:rPr>
      </w:pPr>
      <w:bookmarkStart w:id="4" w:name="_Toc482788958"/>
      <w:bookmarkStart w:id="5" w:name="_Toc25301"/>
      <w:bookmarkStart w:id="6" w:name="_Toc457251626"/>
      <w:bookmarkStart w:id="7" w:name="_Toc458179064"/>
      <w:r>
        <w:rPr>
          <w:rFonts w:ascii="仿宋_GB2312" w:hAnsi="仿宋_GB2312" w:cs="仿宋_GB2312" w:hint="eastAsia"/>
          <w:sz w:val="32"/>
          <w:szCs w:val="32"/>
        </w:rPr>
        <w:t>（二）项目绩效目标</w:t>
      </w:r>
      <w:bookmarkEnd w:id="4"/>
      <w:bookmarkEnd w:id="5"/>
      <w:bookmarkEnd w:id="6"/>
      <w:bookmarkEnd w:id="7"/>
    </w:p>
    <w:p w:rsidR="00650903" w:rsidRDefault="000F6F95">
      <w:pPr>
        <w:pStyle w:val="a0"/>
        <w:spacing w:line="540" w:lineRule="exact"/>
        <w:ind w:firstLine="640"/>
        <w:rPr>
          <w:rFonts w:ascii="仿宋_GB2312" w:hAnsi="仿宋_GB2312" w:cs="仿宋_GB2312"/>
          <w:sz w:val="32"/>
          <w:szCs w:val="32"/>
        </w:rPr>
      </w:pPr>
      <w:r>
        <w:rPr>
          <w:rFonts w:ascii="仿宋_GB2312" w:hAnsi="仿宋_GB2312" w:cs="仿宋_GB2312" w:hint="eastAsia"/>
          <w:sz w:val="32"/>
          <w:szCs w:val="32"/>
        </w:rPr>
        <w:t>2022年度项目的绩效目标为：合理、科学使用孤残儿童生活费，保证孤残儿童的正常生活、医疗护理、康复教育等需要，确保儿童身心健康成长，提高基本生活自理能力，保障其合法权益，减轻社会负担，为孤残儿童自食其力、全面发展，更好、更快地回归家庭、步入社会奠定基础。</w:t>
      </w:r>
    </w:p>
    <w:p w:rsidR="00650903" w:rsidRDefault="000F6F95" w:rsidP="0025481D">
      <w:pPr>
        <w:adjustRightInd w:val="0"/>
        <w:snapToGrid w:val="0"/>
        <w:spacing w:beforeLines="50" w:before="156" w:afterLines="50" w:after="156" w:line="540" w:lineRule="exact"/>
        <w:ind w:firstLine="640"/>
        <w:outlineLvl w:val="0"/>
        <w:rPr>
          <w:rFonts w:ascii="黑体" w:eastAsia="黑体" w:hAnsi="黑体" w:cs="黑体"/>
          <w:sz w:val="32"/>
          <w:szCs w:val="32"/>
        </w:rPr>
      </w:pPr>
      <w:bookmarkStart w:id="8" w:name="_Toc482788963"/>
      <w:bookmarkStart w:id="9" w:name="_Toc457251630"/>
      <w:bookmarkStart w:id="10" w:name="_Toc458179068"/>
      <w:bookmarkStart w:id="11" w:name="_Toc24079"/>
      <w:r>
        <w:rPr>
          <w:rFonts w:ascii="黑体" w:eastAsia="黑体" w:hAnsi="黑体" w:cs="黑体" w:hint="eastAsia"/>
          <w:sz w:val="32"/>
          <w:szCs w:val="32"/>
        </w:rPr>
        <w:lastRenderedPageBreak/>
        <w:t>二、绩效评价工作开展情况</w:t>
      </w:r>
      <w:bookmarkEnd w:id="8"/>
      <w:bookmarkEnd w:id="9"/>
      <w:bookmarkEnd w:id="10"/>
      <w:bookmarkEnd w:id="11"/>
    </w:p>
    <w:p w:rsidR="00650903" w:rsidRDefault="000F6F95">
      <w:pPr>
        <w:adjustRightInd w:val="0"/>
        <w:snapToGrid w:val="0"/>
        <w:spacing w:line="540" w:lineRule="exact"/>
        <w:ind w:firstLine="640"/>
        <w:outlineLvl w:val="1"/>
        <w:rPr>
          <w:rFonts w:ascii="仿宋_GB2312" w:hAnsi="仿宋_GB2312" w:cs="仿宋_GB2312"/>
          <w:sz w:val="32"/>
          <w:szCs w:val="32"/>
        </w:rPr>
      </w:pPr>
      <w:bookmarkStart w:id="12" w:name="_Toc25168"/>
      <w:r>
        <w:rPr>
          <w:rFonts w:ascii="仿宋_GB2312" w:hAnsi="仿宋_GB2312" w:cs="仿宋_GB2312" w:hint="eastAsia"/>
          <w:sz w:val="32"/>
          <w:szCs w:val="32"/>
        </w:rPr>
        <w:t>（一）绩效评价目的、对象和范围</w:t>
      </w:r>
      <w:bookmarkEnd w:id="12"/>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1、绩效评价目的</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（1）提高部门预算绩效管理水平</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通过对前期设立的绩效目标完成情况进行全面评价，总结项目实施经验及项目管理中存在的问题，为预算部门改进绩效管理服务，同时作为财政部门安排下一年度预算资金的参考。</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（2）全面深入推进绩效管理理念</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通过绩效评价并对绩效评价结果进行应用，是落实“花钱必问效，无效必问责”的绩效理念，推进部门内部绩效管理水平不断提升的重要环节。</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（3）增加公共支出透明度，提升政府形象</w:t>
      </w:r>
    </w:p>
    <w:p w:rsidR="00650903" w:rsidRDefault="000F6F95">
      <w:pPr>
        <w:pStyle w:val="a0"/>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实施绩效目标和绩效评价报告对外“双公开”，主动接受社会监督，对实现阳光政府、激发社会公众的参与意识，提升公众对政府的信任度起到重要作用。</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2、绩效评价的对象和范围</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（1）本次绩效评价对象为市儿福2022年“政府供养保障对象生活费”项目。</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（2）评价范围</w:t>
      </w:r>
    </w:p>
    <w:p w:rsidR="00650903" w:rsidRDefault="005254DE">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fldChar w:fldCharType="begin"/>
      </w:r>
      <w:r w:rsidR="000F6F95">
        <w:rPr>
          <w:rFonts w:ascii="仿宋_GB2312" w:hAnsi="仿宋_GB2312" w:cs="仿宋_GB2312" w:hint="eastAsia"/>
          <w:kern w:val="0"/>
          <w:sz w:val="32"/>
          <w:szCs w:val="32"/>
        </w:rPr>
        <w:instrText xml:space="preserve"> = 1 \* GB3 </w:instrText>
      </w:r>
      <w:r>
        <w:rPr>
          <w:rFonts w:ascii="仿宋_GB2312" w:hAnsi="仿宋_GB2312" w:cs="仿宋_GB2312" w:hint="eastAsia"/>
          <w:kern w:val="0"/>
          <w:sz w:val="32"/>
          <w:szCs w:val="32"/>
        </w:rPr>
        <w:fldChar w:fldCharType="separate"/>
      </w:r>
      <w:r w:rsidR="000F6F95">
        <w:rPr>
          <w:rFonts w:ascii="仿宋_GB2312" w:hAnsi="仿宋_GB2312" w:cs="仿宋_GB2312" w:hint="eastAsia"/>
          <w:kern w:val="0"/>
          <w:sz w:val="32"/>
          <w:szCs w:val="32"/>
        </w:rPr>
        <w:t>①</w:t>
      </w:r>
      <w:r>
        <w:rPr>
          <w:rFonts w:ascii="仿宋_GB2312" w:hAnsi="仿宋_GB2312" w:cs="仿宋_GB2312" w:hint="eastAsia"/>
          <w:kern w:val="0"/>
          <w:sz w:val="32"/>
          <w:szCs w:val="32"/>
        </w:rPr>
        <w:fldChar w:fldCharType="end"/>
      </w:r>
      <w:r w:rsidR="000F6F95">
        <w:rPr>
          <w:rFonts w:ascii="仿宋_GB2312" w:hAnsi="仿宋_GB2312" w:cs="仿宋_GB2312" w:hint="eastAsia"/>
          <w:kern w:val="0"/>
          <w:sz w:val="32"/>
          <w:szCs w:val="32"/>
        </w:rPr>
        <w:t>项目决策。主要是对项目决策依据、目标设置、决策过程等进行评价。主要评价内容为决策依据是否充分，决策程序是否规范，绩效目标是否明确、细化等。</w:t>
      </w:r>
    </w:p>
    <w:p w:rsidR="00650903" w:rsidRDefault="005254DE">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fldChar w:fldCharType="begin"/>
      </w:r>
      <w:r w:rsidR="000F6F95">
        <w:rPr>
          <w:rFonts w:ascii="仿宋_GB2312" w:hAnsi="仿宋_GB2312" w:cs="仿宋_GB2312" w:hint="eastAsia"/>
          <w:kern w:val="0"/>
          <w:sz w:val="32"/>
          <w:szCs w:val="32"/>
        </w:rPr>
        <w:instrText xml:space="preserve"> = 2 \* GB3 </w:instrText>
      </w:r>
      <w:r>
        <w:rPr>
          <w:rFonts w:ascii="仿宋_GB2312" w:hAnsi="仿宋_GB2312" w:cs="仿宋_GB2312" w:hint="eastAsia"/>
          <w:kern w:val="0"/>
          <w:sz w:val="32"/>
          <w:szCs w:val="32"/>
        </w:rPr>
        <w:fldChar w:fldCharType="separate"/>
      </w:r>
      <w:r w:rsidR="000F6F95">
        <w:rPr>
          <w:rFonts w:ascii="仿宋_GB2312" w:hAnsi="仿宋_GB2312" w:cs="仿宋_GB2312" w:hint="eastAsia"/>
          <w:kern w:val="0"/>
          <w:sz w:val="32"/>
          <w:szCs w:val="32"/>
        </w:rPr>
        <w:t>②</w:t>
      </w:r>
      <w:r>
        <w:rPr>
          <w:rFonts w:ascii="仿宋_GB2312" w:hAnsi="仿宋_GB2312" w:cs="仿宋_GB2312" w:hint="eastAsia"/>
          <w:kern w:val="0"/>
          <w:sz w:val="32"/>
          <w:szCs w:val="32"/>
        </w:rPr>
        <w:fldChar w:fldCharType="end"/>
      </w:r>
      <w:r w:rsidR="000F6F95">
        <w:rPr>
          <w:rFonts w:ascii="仿宋_GB2312" w:hAnsi="仿宋_GB2312" w:cs="仿宋_GB2312" w:hint="eastAsia"/>
          <w:kern w:val="0"/>
          <w:sz w:val="32"/>
          <w:szCs w:val="32"/>
        </w:rPr>
        <w:t>项目管理。主要是对项目资金及实施过程管理进行评</w:t>
      </w:r>
      <w:r w:rsidR="000F6F95">
        <w:rPr>
          <w:rFonts w:ascii="仿宋_GB2312" w:hAnsi="仿宋_GB2312" w:cs="仿宋_GB2312" w:hint="eastAsia"/>
          <w:kern w:val="0"/>
          <w:sz w:val="32"/>
          <w:szCs w:val="32"/>
        </w:rPr>
        <w:lastRenderedPageBreak/>
        <w:t>价。主要评价内容为预算编制是否细化、准确，是否专款专用、专项核算、项目管理制度是否健全，执行是否有效等。</w:t>
      </w:r>
    </w:p>
    <w:p w:rsidR="00650903" w:rsidRDefault="005254DE">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fldChar w:fldCharType="begin"/>
      </w:r>
      <w:r w:rsidR="000F6F95">
        <w:rPr>
          <w:rFonts w:ascii="仿宋_GB2312" w:hAnsi="仿宋_GB2312" w:cs="仿宋_GB2312" w:hint="eastAsia"/>
          <w:kern w:val="0"/>
          <w:sz w:val="32"/>
          <w:szCs w:val="32"/>
        </w:rPr>
        <w:instrText xml:space="preserve"> = 3 \* GB3 </w:instrText>
      </w:r>
      <w:r>
        <w:rPr>
          <w:rFonts w:ascii="仿宋_GB2312" w:hAnsi="仿宋_GB2312" w:cs="仿宋_GB2312" w:hint="eastAsia"/>
          <w:kern w:val="0"/>
          <w:sz w:val="32"/>
          <w:szCs w:val="32"/>
        </w:rPr>
        <w:fldChar w:fldCharType="separate"/>
      </w:r>
      <w:r w:rsidR="000F6F95">
        <w:rPr>
          <w:rFonts w:ascii="仿宋_GB2312" w:hAnsi="仿宋_GB2312" w:cs="仿宋_GB2312" w:hint="eastAsia"/>
          <w:kern w:val="0"/>
          <w:sz w:val="32"/>
          <w:szCs w:val="32"/>
        </w:rPr>
        <w:t>③</w:t>
      </w:r>
      <w:r>
        <w:rPr>
          <w:rFonts w:ascii="仿宋_GB2312" w:hAnsi="仿宋_GB2312" w:cs="仿宋_GB2312" w:hint="eastAsia"/>
          <w:kern w:val="0"/>
          <w:sz w:val="32"/>
          <w:szCs w:val="32"/>
        </w:rPr>
        <w:fldChar w:fldCharType="end"/>
      </w:r>
      <w:r w:rsidR="000F6F95">
        <w:rPr>
          <w:rFonts w:ascii="仿宋_GB2312" w:hAnsi="仿宋_GB2312" w:cs="仿宋_GB2312" w:hint="eastAsia"/>
          <w:kern w:val="0"/>
          <w:sz w:val="32"/>
          <w:szCs w:val="32"/>
        </w:rPr>
        <w:t>项目绩效。主要是对项目产出和实施效果进行评价。主要评价内容为项目产出数量、产出质量、产出时效、产出成本是否与目标一致；项目实施产生的经济效益、社会效益、可持续影响和服务对象满意度是否达到目标要求。</w:t>
      </w:r>
    </w:p>
    <w:p w:rsidR="00650903" w:rsidRDefault="000F6F95">
      <w:pPr>
        <w:adjustRightInd w:val="0"/>
        <w:snapToGrid w:val="0"/>
        <w:spacing w:line="540" w:lineRule="exact"/>
        <w:ind w:firstLine="640"/>
        <w:outlineLvl w:val="1"/>
        <w:rPr>
          <w:rFonts w:ascii="仿宋_GB2312" w:hAnsi="仿宋_GB2312" w:cs="仿宋_GB2312"/>
          <w:sz w:val="32"/>
          <w:szCs w:val="32"/>
        </w:rPr>
      </w:pPr>
      <w:bookmarkStart w:id="13" w:name="_Toc6515"/>
      <w:r>
        <w:rPr>
          <w:rFonts w:ascii="仿宋_GB2312" w:hAnsi="仿宋_GB2312" w:cs="仿宋_GB2312" w:hint="eastAsia"/>
          <w:sz w:val="32"/>
          <w:szCs w:val="32"/>
        </w:rPr>
        <w:t>（二）绩效评价原则、评价指标体系（附表说明）、评价方法、评价标准等</w:t>
      </w:r>
      <w:bookmarkEnd w:id="13"/>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1、绩效评价原则</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（1）科学公正。绩效评价应当运用科学合理的方法，按照规范的程序，对项目绩效进行客观、公正的反映。</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（2）统筹兼顾。单位自评、部门评价和财政评价应职责明确，各有侧重，相互衔接。</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（3）激励约束。绩效评价结果应用与预算安排、政策调整、改进管理实质性挂钩，体现奖优罚劣和激励相容导向，有效要安排、低效要减压、无效要问责。</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（4）公开透明。绩效评价结果应依法依规公开，并自觉接受社会监督。</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2、绩效评价指标体系（附表说明）</w:t>
      </w:r>
    </w:p>
    <w:p w:rsidR="00650903" w:rsidRDefault="000F6F95">
      <w:pPr>
        <w:adjustRightInd w:val="0"/>
        <w:snapToGrid w:val="0"/>
        <w:spacing w:line="540" w:lineRule="exact"/>
        <w:ind w:firstLine="640"/>
        <w:contextualSpacing/>
        <w:rPr>
          <w:rFonts w:ascii="仿宋_GB2312" w:hAnsi="仿宋_GB2312" w:cs="仿宋_GB2312"/>
          <w:kern w:val="0"/>
          <w:sz w:val="32"/>
          <w:szCs w:val="32"/>
        </w:rPr>
        <w:sectPr w:rsidR="00650903">
          <w:footerReference w:type="default" r:id="rId16"/>
          <w:pgSz w:w="11907" w:h="16840"/>
          <w:pgMar w:top="1440" w:right="1797" w:bottom="1440" w:left="1797" w:header="851" w:footer="992" w:gutter="0"/>
          <w:pgNumType w:start="1"/>
          <w:cols w:space="720"/>
          <w:docGrid w:type="linesAndChars" w:linePitch="312"/>
        </w:sectPr>
      </w:pPr>
      <w:r>
        <w:rPr>
          <w:rFonts w:ascii="仿宋_GB2312" w:hAnsi="仿宋_GB2312" w:cs="仿宋_GB2312" w:hint="eastAsia"/>
          <w:kern w:val="0"/>
          <w:sz w:val="32"/>
          <w:szCs w:val="32"/>
        </w:rPr>
        <w:t>评价工作组根据《北京市项目支出绩效评价管理办法》（京财绩效〔2020〕2146号），结合具体情况，在充分咨询市儿福及评价专家组意见的基础上，形成如下评价指标体系。</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noProof/>
          <w:sz w:val="32"/>
          <w:szCs w:val="32"/>
        </w:rPr>
        <w:lastRenderedPageBreak/>
        <w:drawing>
          <wp:anchor distT="0" distB="0" distL="114300" distR="114300" simplePos="0" relativeHeight="251663360" behindDoc="0" locked="0" layoutInCell="1" allowOverlap="1">
            <wp:simplePos x="0" y="0"/>
            <wp:positionH relativeFrom="column">
              <wp:posOffset>76835</wp:posOffset>
            </wp:positionH>
            <wp:positionV relativeFrom="paragraph">
              <wp:posOffset>-178435</wp:posOffset>
            </wp:positionV>
            <wp:extent cx="8663305" cy="5182870"/>
            <wp:effectExtent l="0" t="0" r="8255" b="13970"/>
            <wp:wrapNone/>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7" cstate="print"/>
                    <a:stretch>
                      <a:fillRect/>
                    </a:stretch>
                  </pic:blipFill>
                  <pic:spPr>
                    <a:xfrm>
                      <a:off x="0" y="0"/>
                      <a:ext cx="8663305" cy="5182870"/>
                    </a:xfrm>
                    <a:prstGeom prst="rect">
                      <a:avLst/>
                    </a:prstGeom>
                    <a:noFill/>
                    <a:ln>
                      <a:noFill/>
                    </a:ln>
                  </pic:spPr>
                </pic:pic>
              </a:graphicData>
            </a:graphic>
          </wp:anchor>
        </w:drawing>
      </w: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noProof/>
          <w:sz w:val="32"/>
          <w:szCs w:val="32"/>
        </w:rPr>
        <w:lastRenderedPageBreak/>
        <w:drawing>
          <wp:anchor distT="0" distB="0" distL="114300" distR="114300" simplePos="0" relativeHeight="251662336" behindDoc="0" locked="0" layoutInCell="1" allowOverlap="1">
            <wp:simplePos x="0" y="0"/>
            <wp:positionH relativeFrom="column">
              <wp:posOffset>44450</wp:posOffset>
            </wp:positionH>
            <wp:positionV relativeFrom="paragraph">
              <wp:posOffset>101600</wp:posOffset>
            </wp:positionV>
            <wp:extent cx="8759825" cy="4939665"/>
            <wp:effectExtent l="0" t="0" r="3175" b="13335"/>
            <wp:wrapNone/>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8" cstate="print"/>
                    <a:stretch>
                      <a:fillRect/>
                    </a:stretch>
                  </pic:blipFill>
                  <pic:spPr>
                    <a:xfrm>
                      <a:off x="0" y="0"/>
                      <a:ext cx="8759825" cy="4939665"/>
                    </a:xfrm>
                    <a:prstGeom prst="rect">
                      <a:avLst/>
                    </a:prstGeom>
                    <a:noFill/>
                    <a:ln>
                      <a:noFill/>
                    </a:ln>
                  </pic:spPr>
                </pic:pic>
              </a:graphicData>
            </a:graphic>
          </wp:anchor>
        </w:drawing>
      </w: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sz w:val="32"/>
          <w:szCs w:val="32"/>
        </w:rPr>
      </w:pPr>
    </w:p>
    <w:p w:rsidR="00650903" w:rsidRDefault="000F6F95">
      <w:pPr>
        <w:ind w:firstLine="640"/>
        <w:rPr>
          <w:rFonts w:ascii="仿宋_GB2312" w:hAnsi="仿宋_GB2312" w:cs="仿宋_GB2312"/>
          <w:sz w:val="32"/>
          <w:szCs w:val="32"/>
        </w:rPr>
      </w:pPr>
      <w:r>
        <w:rPr>
          <w:rFonts w:ascii="仿宋_GB2312" w:hAnsi="仿宋_GB2312" w:cs="仿宋_GB2312" w:hint="eastAsia"/>
          <w:sz w:val="32"/>
          <w:szCs w:val="32"/>
        </w:rPr>
        <w:br w:type="page"/>
      </w:r>
    </w:p>
    <w:p w:rsidR="00650903" w:rsidRDefault="00650903">
      <w:pPr>
        <w:pStyle w:val="a0"/>
        <w:ind w:firstLine="560"/>
      </w:pP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noProof/>
          <w:sz w:val="32"/>
          <w:szCs w:val="32"/>
        </w:rPr>
        <w:drawing>
          <wp:anchor distT="0" distB="0" distL="114300" distR="114300" simplePos="0" relativeHeight="251664384" behindDoc="0" locked="0" layoutInCell="1" allowOverlap="1">
            <wp:simplePos x="0" y="0"/>
            <wp:positionH relativeFrom="column">
              <wp:posOffset>351790</wp:posOffset>
            </wp:positionH>
            <wp:positionV relativeFrom="paragraph">
              <wp:posOffset>197485</wp:posOffset>
            </wp:positionV>
            <wp:extent cx="8453120" cy="4753610"/>
            <wp:effectExtent l="0" t="0" r="5080" b="1270"/>
            <wp:wrapNone/>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19" cstate="print"/>
                    <a:stretch>
                      <a:fillRect/>
                    </a:stretch>
                  </pic:blipFill>
                  <pic:spPr>
                    <a:xfrm>
                      <a:off x="0" y="0"/>
                      <a:ext cx="8453120" cy="4753610"/>
                    </a:xfrm>
                    <a:prstGeom prst="rect">
                      <a:avLst/>
                    </a:prstGeom>
                    <a:noFill/>
                    <a:ln>
                      <a:noFill/>
                    </a:ln>
                  </pic:spPr>
                </pic:pic>
              </a:graphicData>
            </a:graphic>
          </wp:anchor>
        </w:drawing>
      </w: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pPr>
    </w:p>
    <w:p w:rsidR="00650903" w:rsidRDefault="00650903">
      <w:pPr>
        <w:adjustRightInd w:val="0"/>
        <w:snapToGrid w:val="0"/>
        <w:spacing w:line="540" w:lineRule="exact"/>
        <w:ind w:firstLine="640"/>
        <w:contextualSpacing/>
        <w:rPr>
          <w:rFonts w:ascii="仿宋_GB2312" w:hAnsi="仿宋_GB2312" w:cs="仿宋_GB2312"/>
          <w:kern w:val="0"/>
          <w:sz w:val="32"/>
          <w:szCs w:val="32"/>
        </w:rPr>
        <w:sectPr w:rsidR="00650903">
          <w:footerReference w:type="default" r:id="rId20"/>
          <w:pgSz w:w="16840" w:h="11907" w:orient="landscape"/>
          <w:pgMar w:top="1797" w:right="1440" w:bottom="1797" w:left="1440" w:header="851" w:footer="992" w:gutter="0"/>
          <w:cols w:space="720"/>
          <w:docGrid w:type="linesAndChars" w:linePitch="381"/>
        </w:sectPr>
      </w:pP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lastRenderedPageBreak/>
        <w:t>3、绩效评价方法</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本次绩效评价方法有比较法、因素分析法、公众评判法。</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（1）比较法。将实施情况与绩效目标进行比较。</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（2）因素分析法。综合分析影响绩效目标实现、实施效果的内外部因素。</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（3）公众评判法。是指通过专家评估、公众问卷的方式进行评判。</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4、绩效评价标准</w:t>
      </w:r>
    </w:p>
    <w:p w:rsidR="00650903" w:rsidRDefault="000F6F95">
      <w:pPr>
        <w:pStyle w:val="a0"/>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本次绩效评价标准主要为计划标准。以预先制定的绩效目标、计划、预算作为评价标准。</w:t>
      </w:r>
    </w:p>
    <w:p w:rsidR="00650903" w:rsidRDefault="000F6F95">
      <w:pPr>
        <w:adjustRightInd w:val="0"/>
        <w:snapToGrid w:val="0"/>
        <w:spacing w:line="540" w:lineRule="exact"/>
        <w:ind w:firstLine="640"/>
        <w:outlineLvl w:val="1"/>
        <w:rPr>
          <w:rFonts w:ascii="仿宋_GB2312" w:hAnsi="仿宋_GB2312" w:cs="仿宋_GB2312"/>
          <w:kern w:val="0"/>
          <w:sz w:val="32"/>
          <w:szCs w:val="32"/>
        </w:rPr>
      </w:pPr>
      <w:bookmarkStart w:id="14" w:name="_Toc30534"/>
      <w:r>
        <w:rPr>
          <w:rFonts w:ascii="仿宋_GB2312" w:hAnsi="仿宋_GB2312" w:cs="仿宋_GB2312" w:hint="eastAsia"/>
          <w:sz w:val="32"/>
          <w:szCs w:val="32"/>
        </w:rPr>
        <w:t>（三）绩效评价工作过程</w:t>
      </w:r>
      <w:bookmarkEnd w:id="14"/>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1、评价工作组接受市福利中心委托，及时与项目负责人沟通，向市儿福发送项目绩效评价资料清单、绩效报告模板，指导市儿福初步收集项目绩效评价资料。</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2、评价工作组入户听取市儿福项目执行情况汇报，对市儿福相关人员进行针对性的业务培训，指导市儿福收集绩效评价资料和撰写项目绩效报告，明确项目资料提交时间节点及其他需配合完成的工作事项。</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3、评价工作组在审核项目申报资料、项目实施方案、项目相关儿童服装鞋帽及被褥采购计划、采购合同、采购入库单据、院内儿童动态统计表、院内儿童食堂食谱、儿童护理巡查记录等项目资料。</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4、评价工作组对市儿福收集的绩效评价资料进行审核，并根据审核情况，要求项目单位进行补充和完善。</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lastRenderedPageBreak/>
        <w:t>5、评价工作组根据项目实际情况，遴选绩效管理专家、业务专家、财政财务专家组成专家组，对项目评价工作提供咨询及指导。</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6、评价工作组整理、汇总项目绩效评价资料，制作专家手册，并在专家会3日前将专家手册送至专家组成员，根据专家组反馈意见，要求市儿福进一步补充完善项目资料或者进行相关说明。</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7、评价工作组与市福利中心及项目单位沟通，确定绩效评价专家会日期（2022年5月9日），市儿福准备专家会汇报材料。</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8、评价工作组组织召开绩效评价专家会，市儿福向专家组进行项目情况汇报，专家组组长组织专家进行质询，项目单位进行有针对性地回答，专家组成员根据项目资料及评价会质询情况，出具独立的专家评价意见。</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9、评价工作组整理、汇总专家意见，结合绩效评价专家会会议记录等资料，撰写项目绩效评价报告。</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10、沟通反馈，出具报告。项目绩效评价报告经市福利中心审核后，提交市儿福进行意见反馈，评价工作组根据项目单位反馈意见及补充提交的资料，在商评价专家组同意的基础上，出具正式纸质报告。</w:t>
      </w:r>
    </w:p>
    <w:p w:rsidR="00650903" w:rsidRDefault="000F6F95" w:rsidP="0025481D">
      <w:pPr>
        <w:widowControl/>
        <w:spacing w:beforeLines="50" w:before="190" w:afterLines="50" w:after="190" w:line="540" w:lineRule="exact"/>
        <w:ind w:firstLine="640"/>
        <w:jc w:val="left"/>
        <w:outlineLvl w:val="0"/>
        <w:rPr>
          <w:rFonts w:ascii="黑体" w:eastAsia="黑体" w:hAnsi="黑体" w:cs="黑体"/>
          <w:sz w:val="32"/>
          <w:szCs w:val="32"/>
        </w:rPr>
      </w:pPr>
      <w:bookmarkStart w:id="15" w:name="_Toc10059"/>
      <w:r>
        <w:rPr>
          <w:rFonts w:ascii="黑体" w:eastAsia="黑体" w:hAnsi="黑体" w:cs="黑体" w:hint="eastAsia"/>
          <w:color w:val="000000"/>
          <w:kern w:val="0"/>
          <w:sz w:val="32"/>
          <w:szCs w:val="32"/>
        </w:rPr>
        <w:t>三、综合评价情况及评价结论（附相关评分表）</w:t>
      </w:r>
      <w:bookmarkEnd w:id="15"/>
      <w:r>
        <w:rPr>
          <w:rFonts w:ascii="黑体" w:eastAsia="黑体" w:hAnsi="黑体" w:cs="黑体" w:hint="eastAsia"/>
          <w:color w:val="000000"/>
          <w:kern w:val="0"/>
          <w:sz w:val="32"/>
          <w:szCs w:val="32"/>
        </w:rPr>
        <w:t xml:space="preserve"> </w:t>
      </w:r>
    </w:p>
    <w:p w:rsidR="00650903" w:rsidRDefault="000F6F95">
      <w:pPr>
        <w:widowControl/>
        <w:spacing w:line="540" w:lineRule="exact"/>
        <w:ind w:firstLine="640"/>
        <w:jc w:val="left"/>
        <w:rPr>
          <w:rFonts w:ascii="仿宋_GB2312" w:hAnsi="仿宋_GB2312" w:cs="仿宋_GB2312"/>
          <w:sz w:val="32"/>
          <w:szCs w:val="32"/>
        </w:rPr>
      </w:pPr>
      <w:r>
        <w:rPr>
          <w:rFonts w:ascii="仿宋_GB2312" w:hAnsi="仿宋_GB2312" w:cs="仿宋_GB2312" w:hint="eastAsia"/>
          <w:kern w:val="0"/>
          <w:sz w:val="32"/>
          <w:szCs w:val="32"/>
        </w:rPr>
        <w:t>经专家综合评价，市儿福 2022 年“政府供养保障对象生活费”项目绩效评价综合得分93.12分，其中：决策9.52</w:t>
      </w:r>
      <w:r>
        <w:rPr>
          <w:rFonts w:ascii="仿宋_GB2312" w:hAnsi="仿宋_GB2312" w:cs="仿宋_GB2312" w:hint="eastAsia"/>
          <w:kern w:val="0"/>
          <w:sz w:val="32"/>
          <w:szCs w:val="32"/>
        </w:rPr>
        <w:lastRenderedPageBreak/>
        <w:t>分，过程23.10分，产出33.90分，效益26.60分，项目综合绩效评定结论为“优秀”。</w:t>
      </w:r>
    </w:p>
    <w:p w:rsidR="00650903" w:rsidRDefault="000F6F95" w:rsidP="0025481D">
      <w:pPr>
        <w:adjustRightInd w:val="0"/>
        <w:snapToGrid w:val="0"/>
        <w:spacing w:beforeLines="50" w:before="190" w:afterLines="50" w:after="190" w:line="540" w:lineRule="exact"/>
        <w:ind w:firstLine="640"/>
        <w:outlineLvl w:val="0"/>
        <w:rPr>
          <w:rFonts w:ascii="黑体" w:eastAsia="黑体" w:hAnsi="黑体" w:cs="黑体"/>
          <w:sz w:val="32"/>
          <w:szCs w:val="32"/>
        </w:rPr>
      </w:pPr>
      <w:bookmarkStart w:id="16" w:name="_Toc303"/>
      <w:r>
        <w:rPr>
          <w:rFonts w:ascii="黑体" w:eastAsia="黑体" w:hAnsi="黑体" w:cs="黑体" w:hint="eastAsia"/>
          <w:sz w:val="32"/>
          <w:szCs w:val="32"/>
        </w:rPr>
        <w:t>四、绩效评价指标分析</w:t>
      </w:r>
      <w:bookmarkEnd w:id="16"/>
    </w:p>
    <w:p w:rsidR="00650903" w:rsidRDefault="000F6F95">
      <w:pPr>
        <w:adjustRightInd w:val="0"/>
        <w:snapToGrid w:val="0"/>
        <w:spacing w:line="540" w:lineRule="exact"/>
        <w:ind w:firstLine="640"/>
        <w:outlineLvl w:val="1"/>
        <w:rPr>
          <w:rFonts w:ascii="仿宋_GB2312" w:hAnsi="仿宋_GB2312" w:cs="仿宋_GB2312"/>
          <w:sz w:val="32"/>
          <w:szCs w:val="32"/>
        </w:rPr>
      </w:pPr>
      <w:bookmarkStart w:id="17" w:name="_Toc8793"/>
      <w:r>
        <w:rPr>
          <w:rFonts w:ascii="仿宋_GB2312" w:hAnsi="仿宋_GB2312" w:cs="仿宋_GB2312" w:hint="eastAsia"/>
          <w:sz w:val="32"/>
          <w:szCs w:val="32"/>
        </w:rPr>
        <w:t>（一）项目决策情况</w:t>
      </w:r>
      <w:bookmarkEnd w:id="17"/>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1、项目立项</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市儿福的政府供养保障对象生活费项目属于延续多年的经常性项目，项目的实施范围、受众人群、生活费标准均符合北京市民政局、北京市财政局联合下发的相关政策性文件要求，该项目具有明显公益性，属于公共财政支持范围。</w:t>
      </w:r>
    </w:p>
    <w:p w:rsidR="00650903" w:rsidRDefault="000F6F95">
      <w:pPr>
        <w:widowControl/>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市儿福成立于1984年，位于海淀区清河街道，是北京市民政局所属的全额拨款公益一类事业单位，占地面积45.25亩，总建筑面积约25000平方米，设计床位500张，主要收养机场分局、天安门分局、西站分局、开发区分局、清河分局等专业分局和市公安局公交总队接警处置、送医救治的弃婴。收养儿童中99％具有不同类型的残疾，重残率达到85%，包括智力残疾、肢体残疾、视力、听力、言语残疾及其他复合残疾等。</w:t>
      </w:r>
    </w:p>
    <w:p w:rsidR="00650903" w:rsidRDefault="000F6F95">
      <w:pPr>
        <w:pStyle w:val="a0"/>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项目立项前市儿福进行了可行性调研，形成了《北京市儿童福利院政府供养保障对象生活费项目可行性研究报告》。项目与市儿福长期规划及年度工作计划及部门职责范围相符，属于公共财政支持范围，项目立项履行了相关手续，申请、设立程序比较规范。</w:t>
      </w:r>
    </w:p>
    <w:p w:rsidR="00650903" w:rsidRDefault="000F6F95">
      <w:pPr>
        <w:pStyle w:val="a0"/>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建议项目单位在《项目可行性研究报告》中加强对项目历年实施过程中的需求重点、关键性考核标准及绩效呈</w:t>
      </w:r>
      <w:r>
        <w:rPr>
          <w:rFonts w:ascii="仿宋_GB2312" w:hAnsi="仿宋_GB2312" w:cs="仿宋_GB2312" w:hint="eastAsia"/>
          <w:kern w:val="0"/>
          <w:sz w:val="32"/>
          <w:szCs w:val="32"/>
        </w:rPr>
        <w:lastRenderedPageBreak/>
        <w:t>现等方面的分析论证工作，同时加强对实施年度在院儿童流转情况、项目资金支出计划、分配依据等方面的研究分析工作。</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2、绩效目标</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市儿福根据2021 年9 月在院的</w:t>
      </w:r>
      <w:r w:rsidR="00E02AD7">
        <w:rPr>
          <w:rFonts w:ascii="仿宋_GB2312" w:hAnsi="仿宋_GB2312" w:cs="仿宋_GB2312" w:hint="eastAsia"/>
          <w:sz w:val="32"/>
          <w:szCs w:val="32"/>
        </w:rPr>
        <w:t>休养员人数</w:t>
      </w:r>
      <w:r>
        <w:rPr>
          <w:rFonts w:ascii="仿宋_GB2312" w:hAnsi="仿宋_GB2312" w:cs="仿宋_GB2312" w:hint="eastAsia"/>
          <w:sz w:val="32"/>
          <w:szCs w:val="32"/>
        </w:rPr>
        <w:t>，依据《北京市民政局 北京市财政局关于调整我市困境儿童生活费标准的通知》（京民儿福发</w:t>
      </w:r>
      <w:r>
        <w:rPr>
          <w:rFonts w:ascii="仿宋_GB2312" w:hAnsi="仿宋_GB2312" w:cs="仿宋_GB2312" w:hint="eastAsia"/>
          <w:kern w:val="0"/>
          <w:sz w:val="32"/>
          <w:szCs w:val="32"/>
        </w:rPr>
        <w:t>〔2021〕</w:t>
      </w:r>
      <w:r>
        <w:rPr>
          <w:rFonts w:ascii="仿宋_GB2312" w:hAnsi="仿宋_GB2312" w:cs="仿宋_GB2312" w:hint="eastAsia"/>
          <w:sz w:val="32"/>
          <w:szCs w:val="32"/>
        </w:rPr>
        <w:t>168号）中标准，按照机构内孤弃儿童基本生活费1900元/月、18岁以上三无人员生活费1650元/月标准，申请2022年“</w:t>
      </w:r>
      <w:r>
        <w:rPr>
          <w:rFonts w:ascii="仿宋_GB2312" w:hAnsi="仿宋_GB2312" w:cs="仿宋_GB2312" w:hint="eastAsia"/>
          <w:kern w:val="0"/>
          <w:sz w:val="32"/>
          <w:szCs w:val="32"/>
        </w:rPr>
        <w:t>政府供养保障对象生活费</w:t>
      </w:r>
      <w:r>
        <w:rPr>
          <w:rFonts w:ascii="仿宋_GB2312" w:hAnsi="仿宋_GB2312" w:cs="仿宋_GB2312" w:hint="eastAsia"/>
          <w:sz w:val="32"/>
          <w:szCs w:val="32"/>
        </w:rPr>
        <w:t>”项目。</w:t>
      </w:r>
    </w:p>
    <w:p w:rsidR="00650903" w:rsidRDefault="000F6F95">
      <w:pPr>
        <w:pStyle w:val="a0"/>
        <w:spacing w:line="540" w:lineRule="exact"/>
        <w:ind w:firstLine="640"/>
        <w:rPr>
          <w:rFonts w:ascii="仿宋_GB2312" w:hAnsi="仿宋_GB2312" w:cs="仿宋_GB2312"/>
          <w:sz w:val="32"/>
          <w:szCs w:val="32"/>
        </w:rPr>
      </w:pPr>
      <w:r>
        <w:rPr>
          <w:rFonts w:ascii="仿宋_GB2312" w:hAnsi="仿宋_GB2312" w:cs="仿宋_GB2312" w:hint="eastAsia"/>
          <w:kern w:val="0"/>
          <w:sz w:val="32"/>
          <w:szCs w:val="32"/>
        </w:rPr>
        <w:t>项目绩效目标包括：</w:t>
      </w:r>
      <w:r>
        <w:rPr>
          <w:rFonts w:ascii="仿宋_GB2312" w:hAnsi="仿宋_GB2312" w:cs="仿宋_GB2312" w:hint="eastAsia"/>
          <w:sz w:val="32"/>
          <w:szCs w:val="32"/>
        </w:rPr>
        <w:t>合理、科学使用孤残儿童生活费，保证孤残儿童的正常生活、医疗护理、康复教育等需要，确保儿童身心健康成长，提高基本生活自理能力，保障其合法权益，减轻社会负担，为孤残儿童自食其力、全面发展，更好、更快地回归家庭、步入社会奠定基础。</w:t>
      </w:r>
    </w:p>
    <w:p w:rsidR="00650903" w:rsidRDefault="000F6F95">
      <w:pPr>
        <w:pStyle w:val="a0"/>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项目绩效目标设定较为合理、明确，但项目质量指标、效益指标缺少明确的可比、可测、可考量的指标值。</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3、资金投入</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kern w:val="0"/>
          <w:sz w:val="32"/>
          <w:szCs w:val="32"/>
        </w:rPr>
        <w:t>项目2022年预算申报资金为790.86万元，全部为财政资金，其中：</w:t>
      </w:r>
      <w:r>
        <w:rPr>
          <w:rFonts w:ascii="仿宋_GB2312" w:hAnsi="仿宋_GB2312" w:cs="仿宋_GB2312" w:hint="eastAsia"/>
          <w:sz w:val="32"/>
          <w:szCs w:val="32"/>
        </w:rPr>
        <w:t>市财政资金按照困境儿童1600元/人月及“三无人员”1650元/人月的标准共计666.30万元；中央资金按照困境儿童300元/人月的标准共计124.56万元。</w:t>
      </w:r>
      <w:r>
        <w:rPr>
          <w:rFonts w:ascii="仿宋_GB2312" w:hAnsi="仿宋_GB2312" w:cs="仿宋_GB2312" w:hint="eastAsia"/>
          <w:kern w:val="0"/>
          <w:sz w:val="32"/>
          <w:szCs w:val="32"/>
        </w:rPr>
        <w:t>项目预算编制较为科学、资金分配合理，且年度分项标准向上级备案及时，手续齐全。</w:t>
      </w:r>
    </w:p>
    <w:p w:rsidR="00650903" w:rsidRDefault="000F6F95">
      <w:pPr>
        <w:pStyle w:val="a0"/>
        <w:spacing w:line="540" w:lineRule="exact"/>
        <w:ind w:firstLine="640"/>
        <w:outlineLvl w:val="1"/>
        <w:rPr>
          <w:rFonts w:ascii="仿宋_GB2312" w:hAnsi="仿宋_GB2312" w:cs="仿宋_GB2312"/>
          <w:kern w:val="0"/>
          <w:sz w:val="32"/>
          <w:szCs w:val="32"/>
        </w:rPr>
      </w:pPr>
      <w:bookmarkStart w:id="18" w:name="_Toc70879786"/>
      <w:bookmarkStart w:id="19" w:name="_Toc11338"/>
      <w:r>
        <w:rPr>
          <w:rFonts w:ascii="仿宋_GB2312" w:hAnsi="仿宋_GB2312" w:cs="仿宋_GB2312" w:hint="eastAsia"/>
          <w:kern w:val="0"/>
          <w:sz w:val="32"/>
          <w:szCs w:val="32"/>
        </w:rPr>
        <w:lastRenderedPageBreak/>
        <w:t>（二）项目过程情况</w:t>
      </w:r>
      <w:bookmarkEnd w:id="18"/>
      <w:bookmarkEnd w:id="19"/>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1、资金管理</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项目年初预算批复资金790.86 万元，项目资金到位率100%，项目全年预算支出</w:t>
      </w:r>
      <w:r>
        <w:rPr>
          <w:rFonts w:ascii="仿宋_GB2312" w:hAnsi="仿宋_GB2312" w:cs="仿宋_GB2312" w:hint="eastAsia"/>
          <w:sz w:val="32"/>
          <w:szCs w:val="32"/>
        </w:rPr>
        <w:t>784.57万元，项目总体预算执行率为99.20%；其中：政府供养保障对象生活费支出</w:t>
      </w:r>
      <w:r>
        <w:rPr>
          <w:rFonts w:ascii="仿宋_GB2312" w:hAnsi="仿宋_GB2312" w:cs="仿宋_GB2312"/>
          <w:sz w:val="32"/>
          <w:szCs w:val="32"/>
        </w:rPr>
        <w:t>660.01万元预算执行率为</w:t>
      </w:r>
      <w:r>
        <w:rPr>
          <w:rFonts w:ascii="仿宋_GB2312" w:hAnsi="仿宋_GB2312" w:cs="仿宋_GB2312" w:hint="eastAsia"/>
          <w:sz w:val="32"/>
          <w:szCs w:val="32"/>
        </w:rPr>
        <w:t>99.06%；政府供养保障对象生活费（中央资金）124.56万元，</w:t>
      </w:r>
      <w:r>
        <w:rPr>
          <w:rFonts w:ascii="仿宋_GB2312" w:hAnsi="仿宋_GB2312" w:cs="仿宋_GB2312"/>
          <w:sz w:val="32"/>
          <w:szCs w:val="32"/>
        </w:rPr>
        <w:t>预算执行率为</w:t>
      </w:r>
      <w:r>
        <w:rPr>
          <w:rFonts w:ascii="仿宋_GB2312" w:hAnsi="仿宋_GB2312" w:cs="仿宋_GB2312" w:hint="eastAsia"/>
          <w:sz w:val="32"/>
          <w:szCs w:val="32"/>
        </w:rPr>
        <w:t>99.06%；项目年末结余资金6.29万元已统一上交市财政。</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为确保项目资金的有效使用，市儿福院制定了《政府供养保障对象生活费管理办法》《预算管理制度》《资产管理办法》《项目资金管理制度》《政府采购管理办法》《零星采购管理办法》等相关制度，在资金申请、使用、报销、采购、出入库等环节逐级审批、层层把关，保证了项目资金使用的规范性和效益性。同时，市儿福还编制了《内部控制手册》，每年组织开展内控评价工作，通过内控流程图进一步规范资金使用。</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2、组织实施</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为保障项目顺利实施，市儿福成立了项目领导小组，由院长担任组长，业务副院长及行政、财务副院长为副组长；具体工作由医务科、康教科、养育一科、养育二科、社工科、行政科、财务科、膳食科各司其职共同实施。</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院内根据儿童年龄、残疾程度、身体状况等情况共设康复示范中心、特教中心等11个儿童养护区；膳食科、社工科、行政管理科等服务保障科室，为孤残儿童提供饮食</w:t>
      </w:r>
      <w:r>
        <w:rPr>
          <w:rFonts w:ascii="仿宋_GB2312" w:hAnsi="仿宋_GB2312" w:cs="仿宋_GB2312" w:hint="eastAsia"/>
          <w:sz w:val="32"/>
          <w:szCs w:val="32"/>
        </w:rPr>
        <w:lastRenderedPageBreak/>
        <w:t>保障、物资采购、心理咨询辅导等服务保障。具体科室工作内容列举如下：</w:t>
      </w:r>
    </w:p>
    <w:p w:rsidR="00650903" w:rsidRDefault="000F6F95">
      <w:pPr>
        <w:pStyle w:val="a0"/>
        <w:spacing w:line="540" w:lineRule="exact"/>
        <w:ind w:firstLine="640"/>
        <w:rPr>
          <w:rFonts w:ascii="仿宋_GB2312" w:hAnsi="仿宋_GB2312" w:cs="仿宋_GB2312"/>
          <w:sz w:val="32"/>
          <w:szCs w:val="32"/>
        </w:rPr>
      </w:pPr>
      <w:r>
        <w:rPr>
          <w:rFonts w:ascii="仿宋_GB2312" w:hAnsi="仿宋_GB2312" w:cs="仿宋_GB2312" w:hint="eastAsia"/>
          <w:sz w:val="32"/>
          <w:szCs w:val="32"/>
        </w:rPr>
        <w:t>财务科：负责项目预算申报、资金拨付审核工作，及时跟踪预算执行情况，确保专款专用。根据上级要求及预算实际执行情况做好年中预算调整工作，协调各科室做好项目预算资金支出工作，年末，按休养员实际需求制定分项标准，经院支委会同意后，上报市福利中心《休养员生活费分项标准核批备案表》；</w:t>
      </w:r>
    </w:p>
    <w:p w:rsidR="00650903" w:rsidRDefault="000F6F95">
      <w:pPr>
        <w:pStyle w:val="a0"/>
        <w:spacing w:line="540" w:lineRule="exact"/>
        <w:ind w:firstLine="640"/>
        <w:rPr>
          <w:rFonts w:ascii="仿宋_GB2312" w:hAnsi="仿宋_GB2312" w:cs="仿宋_GB2312"/>
          <w:sz w:val="32"/>
          <w:szCs w:val="32"/>
        </w:rPr>
      </w:pPr>
      <w:r>
        <w:rPr>
          <w:rFonts w:ascii="仿宋_GB2312" w:hAnsi="仿宋_GB2312" w:cs="仿宋_GB2312" w:hint="eastAsia"/>
          <w:sz w:val="32"/>
          <w:szCs w:val="32"/>
        </w:rPr>
        <w:t>行政管理科：根据院内供养保障人员的实际生活需求，按照市儿福《政府采购管理规定》要求执行支委会审议、采买、出入库等相关流程，并根据预算资金及时有计划地进行服装、床上用品、纸尿裤护理垫及日常用品的采购，做好充分的物资保障，保障货物高标准严时效供给，进一步提高院内供养保障人员生活质量；</w:t>
      </w:r>
    </w:p>
    <w:p w:rsidR="00650903" w:rsidRDefault="000F6F95">
      <w:pPr>
        <w:pStyle w:val="a0"/>
        <w:spacing w:line="540" w:lineRule="exact"/>
        <w:ind w:firstLine="640"/>
        <w:rPr>
          <w:rFonts w:ascii="仿宋_GB2312" w:hAnsi="仿宋_GB2312" w:cs="仿宋_GB2312"/>
          <w:sz w:val="32"/>
          <w:szCs w:val="32"/>
        </w:rPr>
      </w:pPr>
      <w:r>
        <w:rPr>
          <w:rFonts w:ascii="仿宋_GB2312" w:hAnsi="仿宋_GB2312" w:cs="仿宋_GB2312" w:hint="eastAsia"/>
          <w:sz w:val="32"/>
          <w:szCs w:val="32"/>
        </w:rPr>
        <w:t>膳食科：严格执行《食品安全法》，保证一日三餐的正常供应，每周制定食谱，做到每天不重样，粗细搭配、荤素搭配，营养均衡，基本达到色香味俱全；</w:t>
      </w:r>
    </w:p>
    <w:p w:rsidR="00650903" w:rsidRDefault="000F6F95">
      <w:pPr>
        <w:pStyle w:val="a0"/>
        <w:spacing w:line="540" w:lineRule="exact"/>
        <w:ind w:firstLine="640"/>
        <w:rPr>
          <w:rFonts w:ascii="仿宋_GB2312" w:hAnsi="仿宋_GB2312" w:cs="仿宋_GB2312"/>
          <w:sz w:val="32"/>
          <w:szCs w:val="32"/>
        </w:rPr>
      </w:pPr>
      <w:r>
        <w:rPr>
          <w:rFonts w:ascii="仿宋_GB2312" w:hAnsi="仿宋_GB2312" w:cs="仿宋_GB2312" w:hint="eastAsia"/>
          <w:sz w:val="32"/>
          <w:szCs w:val="32"/>
        </w:rPr>
        <w:t>医务科、康教科负责孤弃儿童教育、医疗、康复等工作需求论证、组织申报资料，制定实施计划并组织实施；提供工作制度、规范、工作资料等的收集；</w:t>
      </w:r>
    </w:p>
    <w:p w:rsidR="00650903" w:rsidRDefault="000F6F95">
      <w:pPr>
        <w:pStyle w:val="a0"/>
        <w:spacing w:line="540" w:lineRule="exact"/>
        <w:ind w:firstLine="640"/>
        <w:rPr>
          <w:rFonts w:ascii="仿宋_GB2312" w:hAnsi="仿宋_GB2312" w:cs="仿宋_GB2312"/>
          <w:sz w:val="32"/>
          <w:szCs w:val="32"/>
        </w:rPr>
      </w:pPr>
      <w:r>
        <w:rPr>
          <w:rFonts w:ascii="仿宋_GB2312" w:hAnsi="仿宋_GB2312" w:cs="仿宋_GB2312" w:hint="eastAsia"/>
          <w:sz w:val="32"/>
          <w:szCs w:val="32"/>
        </w:rPr>
        <w:t>养育一科、养育二科：负责完成供养保障人员的生活护理，严格执行各项护理工作流程，保证供养保障人员衣服整洁、身无异味、卧床供养保障人员无褥疮、无臀红、无尿布疹等护理差错，结合各岗位职责进行日常监督，监</w:t>
      </w:r>
      <w:r>
        <w:rPr>
          <w:rFonts w:ascii="仿宋_GB2312" w:hAnsi="仿宋_GB2312" w:cs="仿宋_GB2312" w:hint="eastAsia"/>
          <w:sz w:val="32"/>
          <w:szCs w:val="32"/>
        </w:rPr>
        <w:lastRenderedPageBreak/>
        <w:t>督检查护理质量，保障各项工作稳步推进，确保供养保障人员身心健康，起到兜底保障作用。</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2022年度项目在实施过程中，市儿福增强了对新冠肺炎疫情进行防控工作，根据上级文件要求和工作实际修订市儿福《防控新型冠状病毒感染肺炎疫情应急预案》《突发新冠肺炎疫情应急处置工作预案》；对儿童信息进行动态管理，按照院内管理制度以及行业管理标准执行相关工作，严格落实新冠肺炎疫情防控措施。</w:t>
      </w:r>
    </w:p>
    <w:p w:rsidR="00650903" w:rsidRDefault="000F6F95">
      <w:pPr>
        <w:adjustRightInd w:val="0"/>
        <w:snapToGrid w:val="0"/>
        <w:spacing w:line="540" w:lineRule="exact"/>
        <w:ind w:firstLine="640"/>
        <w:outlineLvl w:val="1"/>
        <w:rPr>
          <w:rFonts w:ascii="仿宋_GB2312" w:hAnsi="仿宋_GB2312" w:cs="仿宋_GB2312"/>
          <w:sz w:val="32"/>
          <w:szCs w:val="32"/>
        </w:rPr>
      </w:pPr>
      <w:bookmarkStart w:id="20" w:name="_Toc70879787"/>
      <w:bookmarkStart w:id="21" w:name="_Toc6236"/>
      <w:r>
        <w:rPr>
          <w:rFonts w:ascii="仿宋_GB2312" w:hAnsi="仿宋_GB2312" w:cs="仿宋_GB2312" w:hint="eastAsia"/>
          <w:sz w:val="32"/>
          <w:szCs w:val="32"/>
        </w:rPr>
        <w:t>（三）项目产出情况</w:t>
      </w:r>
      <w:bookmarkEnd w:id="20"/>
      <w:bookmarkEnd w:id="21"/>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项目截至2022年末，市儿福院内孤弃儿童养育人数，较预算申报的</w:t>
      </w:r>
      <w:r w:rsidR="00E02AD7">
        <w:rPr>
          <w:rFonts w:ascii="仿宋_GB2312" w:hAnsi="仿宋_GB2312" w:cs="仿宋_GB2312" w:hint="eastAsia"/>
          <w:kern w:val="0"/>
          <w:sz w:val="32"/>
          <w:szCs w:val="32"/>
        </w:rPr>
        <w:t>人数</w:t>
      </w:r>
      <w:r>
        <w:rPr>
          <w:rFonts w:ascii="仿宋_GB2312" w:hAnsi="仿宋_GB2312" w:cs="仿宋_GB2312" w:hint="eastAsia"/>
          <w:kern w:val="0"/>
          <w:sz w:val="32"/>
          <w:szCs w:val="32"/>
        </w:rPr>
        <w:t>相比减少7人，其中：流转1名</w:t>
      </w:r>
      <w:r>
        <w:rPr>
          <w:rFonts w:ascii="仿宋_GB2312" w:hAnsi="仿宋_GB2312" w:cs="仿宋_GB2312" w:hint="eastAsia"/>
          <w:sz w:val="32"/>
          <w:szCs w:val="32"/>
        </w:rPr>
        <w:t>“三无人员”</w:t>
      </w:r>
      <w:r>
        <w:rPr>
          <w:rFonts w:ascii="仿宋_GB2312" w:hAnsi="仿宋_GB2312" w:cs="仿宋_GB2312" w:hint="eastAsia"/>
          <w:kern w:val="0"/>
          <w:sz w:val="32"/>
          <w:szCs w:val="32"/>
        </w:rPr>
        <w:t>、孤弃儿童死亡6名。</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项目具体产出情况如下：</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(1)在膳食管理方面，严格按照国家对食品卫生和儿童身体健康的要求、标准和制度，根据孤弃儿童的个性化需求，依据膳食工作人员和医生的建议，制定适合于不同年龄、不同时期、不同身体状况的孩子食谱，为院内</w:t>
      </w:r>
      <w:bookmarkStart w:id="22" w:name="_GoBack"/>
      <w:bookmarkEnd w:id="22"/>
      <w:r>
        <w:rPr>
          <w:rFonts w:ascii="仿宋_GB2312" w:hAnsi="仿宋_GB2312" w:cs="仿宋_GB2312" w:hint="eastAsia"/>
          <w:sz w:val="32"/>
          <w:szCs w:val="32"/>
        </w:rPr>
        <w:t>孩子提供营养配餐，包括普食、软食、半流食、婴幼儿奶、治疗饮食等，做到合理搭配、营养均衡，满足儿童健康成长所需。</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(2)在生活照料方面：根据儿童年龄、身高、体重情况，配置生活用品。保障儿童服装全年不少于10套、能够站立行走儿童鞋子不少于5双、床单、床罩等4套，棉被3套，按照季节进行更替，保证日常需求；对新入院孤弃儿童，</w:t>
      </w:r>
      <w:r>
        <w:rPr>
          <w:rFonts w:ascii="仿宋_GB2312" w:hAnsi="仿宋_GB2312" w:cs="仿宋_GB2312" w:hint="eastAsia"/>
          <w:sz w:val="32"/>
          <w:szCs w:val="32"/>
        </w:rPr>
        <w:lastRenderedPageBreak/>
        <w:t>进行隔离、观察、日常生活照料；对早产儿、新生儿进行特殊抚育；传染病儿隔离、疑难杂症儿的姑息治疗及特殊儿童治疗照料，危重儿童的临终关怀；完成全院孤弃儿童年度体检、生长监测、外院就诊等护理保健工作；同时根据儿童的年龄、身体状况，以及日常生活的需要，在服装、被褥、尿布、洗漱用具等日用品、生活必需品的购置和配备，做到量入为出，合理搭配，因人、因时而异，按采购计划及实际需求购置及领用，做到日常穿戴干净整洁得体，节假日里营造喜庆的节日气氛，四季床上用品洁净并且随季节变化及时调整。</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(3)在医疗保健方面：落实医疗标准规范，合法规范运营市儿福门诊部，加强院内感染防控工作，组织传染病防治培训，开展院感抽查27次。严格做好医疗质量考核工作，共检查处方5349份，合格率99%，儿童成长档案260份，按照标准化条文检查，不合格成长档案、处方及时指正。做好儿童计划免疫的接种补种工作，目前共完成儿童各类免疫接种873人次。结核菌素试验筛查36人次，胸片筛查56人次。外出住院儿童134人次。检验室完成各类标本送检387人次，供应室规范运送医疗废物78次。完成儿童日常诊疗及医疗区、救助区、隔离区护理工作，未出现诊疗护理差错。2022年共完成治疗处置总数59708人次，共完成了抢救58人次，肌肉注射86人次，皮试18例，换药4751人次，抽血86人次，摆药35567人次，吸痰1227人次，雾化吸入934人次，静推37人次，灌肠376人次，胃管插入</w:t>
      </w:r>
      <w:r>
        <w:rPr>
          <w:rFonts w:ascii="仿宋_GB2312" w:hAnsi="仿宋_GB2312" w:cs="仿宋_GB2312" w:hint="eastAsia"/>
          <w:sz w:val="32"/>
          <w:szCs w:val="32"/>
        </w:rPr>
        <w:lastRenderedPageBreak/>
        <w:t>86人次，导尿7人次，口腔护理43278人次，鼻饲5554次，更换尿袋15次，肢体被动运动289491次，保护器具使用37455次。为养育的儿童提供预防保健、医疗救治等服务，实行分病种、小病房管理，按病种分为呼吸道病房、消化道病房、恢复期病房、隔离病房等。对儿童常见病、多发病进行及时诊断和治疗，为儿童提供个性化医疗、保健和护理等服务。</w:t>
      </w:r>
    </w:p>
    <w:p w:rsidR="00650903" w:rsidRDefault="000F6F95">
      <w:pPr>
        <w:adjustRightInd w:val="0"/>
        <w:snapToGrid w:val="0"/>
        <w:spacing w:line="540" w:lineRule="exact"/>
        <w:ind w:firstLine="640"/>
        <w:contextualSpacing/>
        <w:rPr>
          <w:rFonts w:ascii="仿宋_GB2312" w:hAnsi="仿宋_GB2312" w:cs="仿宋_GB2312"/>
          <w:sz w:val="32"/>
          <w:szCs w:val="32"/>
        </w:rPr>
      </w:pPr>
      <w:r>
        <w:rPr>
          <w:rFonts w:ascii="仿宋_GB2312" w:hAnsi="仿宋_GB2312" w:cs="仿宋_GB2312" w:hint="eastAsia"/>
          <w:sz w:val="32"/>
          <w:szCs w:val="32"/>
        </w:rPr>
        <w:t>(4)在康复训练方面：按照残疾儿童不同的身体状况运用引导式教育、感觉统合训练、物理治疗、作业治疗、聋儿语训等方法进行康复训练。康复训练贯穿着残疾儿童生活的全过程，为了让儿童享受高质量的康复服务，每年也筛选部分儿童到专业的康复机构进行住院训练。残疾儿童经过长期艰苦、系统、规范的训练，康复效果明显。落实康复标准规范，强化特教中心幼儿园功能，深化儿童“康养结合”“养教融合”服务特色，在做好基础养护工作的同时，开展个别儿童床旁康复和认知教育。积极引入社会优质资源，与第三方康复专业机构开展合作，有序开展针对性康复训练，儿童在认知能力、肢体功能、社会交往等方面均有明显改善。</w:t>
      </w:r>
    </w:p>
    <w:p w:rsidR="00650903" w:rsidRDefault="000F6F95">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(5)在特殊教育方面：0-3岁的孩子在院内接受早期儿童发展训练，3-6岁的孩子在院内接受日常生活自理、社会认知、习惯养成、懂得感恩等学龄前教育内容的特殊教育。2022年受新冠肺炎疫情影响，为了保证孤弃儿童受教育的权利，对儿童开展床头教育，采取多种手法和教具运用到残疾儿童的教学中。2022年经过评估，4名卧床儿童均能</w:t>
      </w:r>
      <w:r>
        <w:rPr>
          <w:rFonts w:ascii="仿宋_GB2312" w:hAnsi="仿宋_GB2312" w:cs="仿宋_GB2312" w:hint="eastAsia"/>
          <w:sz w:val="32"/>
          <w:szCs w:val="32"/>
        </w:rPr>
        <w:lastRenderedPageBreak/>
        <w:t>实现下床活动，运动能力、生活自理能力大幅度提升，36名儿童全部参与教学活动。通过组织开展丰富的活动（户外采摘、六一活动、升国旗、教学活动、区域活动和户外活动）提升儿童自我服务的技能，生活自理能力逐步提升，学会了刷牙，正确盥洗，养成了良好的生活习惯，提高了日常认知能力。</w:t>
      </w:r>
    </w:p>
    <w:p w:rsidR="00650903" w:rsidRDefault="000F6F95">
      <w:pPr>
        <w:spacing w:line="540" w:lineRule="exact"/>
        <w:ind w:firstLine="640"/>
        <w:rPr>
          <w:rFonts w:ascii="仿宋_GB2312" w:hAnsi="仿宋_GB2312" w:cs="仿宋_GB2312"/>
          <w:kern w:val="0"/>
          <w:sz w:val="32"/>
          <w:szCs w:val="32"/>
        </w:rPr>
      </w:pPr>
      <w:r>
        <w:rPr>
          <w:rFonts w:ascii="仿宋_GB2312" w:hAnsi="仿宋_GB2312" w:cs="仿宋_GB2312" w:hint="eastAsia"/>
          <w:sz w:val="32"/>
          <w:szCs w:val="32"/>
        </w:rPr>
        <w:t>(6)持续推进“养社融合”：充分发挥社会工作在儿童服务保障中的专业作用，完成4名儿童的院内转区评估，32人次的儿童心理测验，1名儿童的2次心理咨询，1名儿童的2次个案。</w:t>
      </w:r>
    </w:p>
    <w:p w:rsidR="00650903" w:rsidRDefault="000F6F95">
      <w:pPr>
        <w:pStyle w:val="a0"/>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项目产出达到预期绩效目标要求。</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bookmarkStart w:id="23" w:name="_Toc70879788"/>
      <w:r>
        <w:rPr>
          <w:rFonts w:ascii="仿宋_GB2312" w:hAnsi="仿宋_GB2312" w:cs="仿宋_GB2312" w:hint="eastAsia"/>
          <w:kern w:val="0"/>
          <w:sz w:val="32"/>
          <w:szCs w:val="32"/>
        </w:rPr>
        <w:t>（四）项目效益情况</w:t>
      </w:r>
      <w:bookmarkEnd w:id="23"/>
    </w:p>
    <w:p w:rsidR="00650903" w:rsidRDefault="000F6F95">
      <w:pPr>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该项目的实施，有效确保在院孤弃儿童的生命安全，保障儿童生活的基本需求，改善了患病儿童的生存质量、提升了生活自理能力，改善了生活状态，保障了孤弃儿童的生存权、发展权、受保护权、参与权等权利。为孤弃儿童最终回归社会打下良好基础，有效实现了维护社会稳定、减轻社会压力的社会效益。</w:t>
      </w:r>
    </w:p>
    <w:p w:rsidR="00650903" w:rsidRDefault="000F6F95">
      <w:pPr>
        <w:spacing w:line="540" w:lineRule="exact"/>
        <w:ind w:firstLine="640"/>
        <w:rPr>
          <w:rFonts w:ascii="仿宋_GB2312" w:hAnsi="仿宋_GB2312" w:cs="仿宋_GB2312"/>
          <w:kern w:val="0"/>
          <w:sz w:val="32"/>
          <w:szCs w:val="32"/>
        </w:rPr>
      </w:pPr>
      <w:r>
        <w:rPr>
          <w:rFonts w:ascii="仿宋_GB2312" w:hAnsi="仿宋_GB2312" w:cs="仿宋_GB2312" w:hint="eastAsia"/>
          <w:sz w:val="32"/>
          <w:szCs w:val="32"/>
        </w:rPr>
        <w:t>2022年市儿福落实《市属福利机构业务工作管理制度》规定，稳妥有序推进大龄儿童中心系统内部流转工作，年初安全顺利完成50名大龄儿童流转至市第二儿童福利院的工作，年中完成1名休养员大龄安置工作。全年及时更新我市儿童收养信息系统中待收养儿童信息，为积极推动儿童回归家庭创造条件。</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lastRenderedPageBreak/>
        <w:t>项目在提升政府部门影响力，树立政府在群众中的良好公众形象作用明显，但项目单位对项目实施后绩效的总结、分析，实施效果的绩效成果收集、反馈工作略显不足。</w:t>
      </w:r>
    </w:p>
    <w:p w:rsidR="00650903" w:rsidRDefault="000F6F95" w:rsidP="0025481D">
      <w:pPr>
        <w:adjustRightInd w:val="0"/>
        <w:snapToGrid w:val="0"/>
        <w:spacing w:beforeLines="50" w:before="190" w:afterLines="50" w:after="190" w:line="540" w:lineRule="exact"/>
        <w:ind w:firstLine="640"/>
        <w:outlineLvl w:val="0"/>
        <w:rPr>
          <w:rFonts w:ascii="黑体" w:eastAsia="黑体" w:hAnsi="黑体" w:cs="黑体"/>
          <w:sz w:val="32"/>
          <w:szCs w:val="32"/>
        </w:rPr>
      </w:pPr>
      <w:bookmarkStart w:id="24" w:name="_Toc70879789"/>
      <w:bookmarkStart w:id="25" w:name="_Toc482788969"/>
      <w:bookmarkStart w:id="26" w:name="_Toc32747"/>
      <w:r>
        <w:rPr>
          <w:rFonts w:ascii="黑体" w:eastAsia="黑体" w:hAnsi="黑体" w:cs="黑体" w:hint="eastAsia"/>
          <w:sz w:val="32"/>
          <w:szCs w:val="32"/>
        </w:rPr>
        <w:t>五、主要经验及做法、存在的问题及原因分析</w:t>
      </w:r>
      <w:bookmarkEnd w:id="24"/>
      <w:bookmarkEnd w:id="25"/>
      <w:bookmarkEnd w:id="26"/>
    </w:p>
    <w:p w:rsidR="00650903" w:rsidRDefault="000F6F95">
      <w:pPr>
        <w:adjustRightInd w:val="0"/>
        <w:snapToGrid w:val="0"/>
        <w:spacing w:line="540" w:lineRule="exact"/>
        <w:ind w:firstLine="640"/>
        <w:outlineLvl w:val="1"/>
        <w:rPr>
          <w:rFonts w:ascii="仿宋_GB2312" w:hAnsi="仿宋_GB2312" w:cs="仿宋_GB2312"/>
          <w:sz w:val="32"/>
          <w:szCs w:val="32"/>
        </w:rPr>
      </w:pPr>
      <w:bookmarkStart w:id="27" w:name="_Toc70879790"/>
      <w:bookmarkStart w:id="28" w:name="_Toc10654"/>
      <w:r>
        <w:rPr>
          <w:rFonts w:ascii="仿宋_GB2312" w:hAnsi="仿宋_GB2312" w:cs="仿宋_GB2312" w:hint="eastAsia"/>
          <w:sz w:val="32"/>
          <w:szCs w:val="32"/>
        </w:rPr>
        <w:t>（一）主要经验</w:t>
      </w:r>
      <w:bookmarkEnd w:id="27"/>
      <w:bookmarkEnd w:id="28"/>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随着经济的发展和医疗条件的改善以及其他区县儿童福利院的建设，2022年无新入院孤弃儿童数量，院内存量儿童基本为不具备送养条件的中重度复合型残疾儿童，在教育和康复上的接受能力有限，在门诊、大病和护理上的需求增加。针对纸尿裤、护理垫的使用量剧增，增加了日常生活用品的资金标准为580元。针对这种变化，市儿福对服务内容、绩效目标和资金使用结构在2022年都进行了调整备案工作。</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市儿福严格落实院内各项规章制度，及时根据院内孤弃儿童状况的变化调整服务重点，项目在执行过程中，按照院内相关制度要求履行项目申报、资金审批程序；根据儿童身体状况对药品和服装、被褥以及其他日常生活用品进行年度需求测算；严格落实“三重一大”决策制度，规范资金使用程序，确保资金使用安全、合理、高效，在进行物资采购前，需求部门上报需求，采购部门根据上报的需求以及库存情况进行采购，严格出入库管理制度和流程，保障质量，避免浪费；采购工作通过货比三家和招标采购等手段，有效保障项目财政资金使用的经济性和合规性。</w:t>
      </w:r>
    </w:p>
    <w:p w:rsidR="00650903" w:rsidRDefault="000F6F95">
      <w:pPr>
        <w:adjustRightInd w:val="0"/>
        <w:snapToGrid w:val="0"/>
        <w:spacing w:line="540" w:lineRule="exact"/>
        <w:ind w:firstLine="640"/>
        <w:outlineLvl w:val="1"/>
        <w:rPr>
          <w:rFonts w:ascii="仿宋_GB2312" w:hAnsi="仿宋_GB2312" w:cs="仿宋_GB2312"/>
          <w:sz w:val="32"/>
          <w:szCs w:val="32"/>
        </w:rPr>
      </w:pPr>
      <w:bookmarkStart w:id="29" w:name="_Toc8276"/>
      <w:bookmarkStart w:id="30" w:name="_Toc70879791"/>
      <w:r>
        <w:rPr>
          <w:rFonts w:ascii="仿宋_GB2312" w:hAnsi="仿宋_GB2312" w:cs="仿宋_GB2312" w:hint="eastAsia"/>
          <w:sz w:val="32"/>
          <w:szCs w:val="32"/>
        </w:rPr>
        <w:t>（二）存在的问题及原因分析</w:t>
      </w:r>
      <w:bookmarkEnd w:id="29"/>
      <w:bookmarkEnd w:id="30"/>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1、项目年初绩效指标设定有所欠缺</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lastRenderedPageBreak/>
        <w:t>项目的个别绩效指标的指标值量化不充分，可考量性较弱，难以进行准确的考核和评价工作。如：项目质量指标为“保障孤残儿童基本生活需求（伙食、服装、基本医疗、教育和康复等）”=99%，且未有效设置服务对象满意度指标等。</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2、项目绩效相关资料不完整</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项目作为延续多年的经常性项目，项目单位缺少对历年项目实施经验及项目资金使用情况的全面梳理和总结，应细化、量化年度项目绩效目标和指标，同时有针对性地加强日常工作中与项目绩效相关材料的收集和取证工作。</w:t>
      </w:r>
    </w:p>
    <w:p w:rsidR="00650903" w:rsidRDefault="000F6F95" w:rsidP="0025481D">
      <w:pPr>
        <w:adjustRightInd w:val="0"/>
        <w:snapToGrid w:val="0"/>
        <w:spacing w:beforeLines="50" w:before="190" w:afterLines="50" w:after="190" w:line="540" w:lineRule="exact"/>
        <w:ind w:firstLine="640"/>
        <w:outlineLvl w:val="0"/>
        <w:rPr>
          <w:rFonts w:ascii="黑体" w:eastAsia="黑体" w:hAnsi="黑体" w:cs="黑体"/>
          <w:sz w:val="32"/>
          <w:szCs w:val="32"/>
        </w:rPr>
      </w:pPr>
      <w:bookmarkStart w:id="31" w:name="_Toc25077"/>
      <w:bookmarkStart w:id="32" w:name="_Toc70879792"/>
      <w:r>
        <w:rPr>
          <w:rFonts w:ascii="黑体" w:eastAsia="黑体" w:hAnsi="黑体" w:cs="黑体" w:hint="eastAsia"/>
          <w:sz w:val="32"/>
          <w:szCs w:val="32"/>
        </w:rPr>
        <w:t>六、有关建议</w:t>
      </w:r>
      <w:bookmarkEnd w:id="31"/>
      <w:bookmarkEnd w:id="32"/>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建议项目在设立绩效指标时，可以根据各项工作性质，把一般性要求分解为具体工作对应的量化标准，可参照本市社会福利机构同行业相关标准或院内具体工作的考核标准作为项目执行的质量指标的标准值；同时可以将项目执行的周期性工作作为项目进度控制、考核的进度指标。</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建议项目单位年度《项目可行性研究报告》中加强对项目历年实施重点、关键性考核标准及绩效呈现等方面的分析论证工作，同时有针对性地加强对预计实施年度在院儿童流转情况、项目资金支出计划、分配依据等方面的研究分析工作。</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3、关注项目实施后绩效成果资料的收集整理工作，通过多种渠道和方面呈现项目取得的成果，如：通过媒体、政府、社会、志愿者、领养家庭反馈等信息，综合反映出所取得的成绩，突显财政资金投入产生的绩效。</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lastRenderedPageBreak/>
        <w:t>4、补充做好已经实施的院内满意度调查及反馈工作，有效促进以后年度项目实施中有针对性的改进提高工作。</w:t>
      </w:r>
    </w:p>
    <w:p w:rsidR="00650903" w:rsidRDefault="000F6F95" w:rsidP="0025481D">
      <w:pPr>
        <w:adjustRightInd w:val="0"/>
        <w:snapToGrid w:val="0"/>
        <w:spacing w:beforeLines="50" w:before="190" w:afterLines="50" w:after="190" w:line="540" w:lineRule="exact"/>
        <w:ind w:firstLine="640"/>
        <w:outlineLvl w:val="0"/>
        <w:rPr>
          <w:rFonts w:ascii="黑体" w:eastAsia="黑体" w:hAnsi="黑体" w:cs="黑体"/>
          <w:sz w:val="32"/>
          <w:szCs w:val="32"/>
        </w:rPr>
      </w:pPr>
      <w:bookmarkStart w:id="33" w:name="_Toc70879793"/>
      <w:bookmarkStart w:id="34" w:name="_Toc26678"/>
      <w:r>
        <w:rPr>
          <w:rFonts w:ascii="黑体" w:eastAsia="黑体" w:hAnsi="黑体" w:cs="黑体" w:hint="eastAsia"/>
          <w:sz w:val="32"/>
          <w:szCs w:val="32"/>
        </w:rPr>
        <w:t>七、其他需要说明的问题</w:t>
      </w:r>
      <w:bookmarkEnd w:id="33"/>
      <w:bookmarkEnd w:id="34"/>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目前市儿福受人员编制限制，院内服务于孤弃儿童的护理员有一半属于劳务派遣人员，工作人员队伍欠缺稳定性，且工作人员缺乏专业技术人员和护理知识，需要长期不间断地培养护理人员队伍。</w:t>
      </w:r>
    </w:p>
    <w:p w:rsidR="00650903" w:rsidRDefault="000F6F95">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后续市儿福应进一步加强对院内护理人员的培训工作，理论与实际操作相结合，加强周期性的操作考核，努力提高护理水平，提升护理人员的综合素质。同时发挥蔡保根技能大师工作室作用，坚持引进来走出去相结合，持续做好一线医生、护士、教师、康复师、社工以及孤残儿童护理员的技能培训，强化职工的继续教育，不断提升为孤弃儿童服务的技能水平。</w:t>
      </w:r>
    </w:p>
    <w:p w:rsidR="00650903" w:rsidRDefault="00650903">
      <w:pPr>
        <w:pStyle w:val="a0"/>
        <w:ind w:firstLine="640"/>
        <w:rPr>
          <w:rFonts w:ascii="仿宋_GB2312" w:hAnsi="仿宋_GB2312" w:cs="仿宋_GB2312"/>
          <w:kern w:val="0"/>
          <w:sz w:val="32"/>
          <w:szCs w:val="32"/>
        </w:rPr>
      </w:pPr>
    </w:p>
    <w:p w:rsidR="00650903" w:rsidRDefault="00650903">
      <w:pPr>
        <w:pStyle w:val="a0"/>
        <w:ind w:firstLine="640"/>
        <w:rPr>
          <w:rFonts w:ascii="仿宋_GB2312" w:hAnsi="仿宋_GB2312" w:cs="仿宋_GB2312"/>
          <w:kern w:val="0"/>
          <w:sz w:val="32"/>
          <w:szCs w:val="32"/>
        </w:rPr>
      </w:pPr>
    </w:p>
    <w:p w:rsidR="00650903" w:rsidRDefault="00650903">
      <w:pPr>
        <w:pStyle w:val="a0"/>
        <w:ind w:firstLineChars="0" w:firstLine="0"/>
        <w:rPr>
          <w:rFonts w:ascii="仿宋_GB2312" w:hAnsi="仿宋_GB2312" w:cs="仿宋_GB2312"/>
          <w:kern w:val="0"/>
          <w:sz w:val="32"/>
          <w:szCs w:val="32"/>
        </w:rPr>
      </w:pPr>
    </w:p>
    <w:p w:rsidR="00650903" w:rsidRDefault="000F6F95">
      <w:pPr>
        <w:adjustRightInd w:val="0"/>
        <w:snapToGrid w:val="0"/>
        <w:spacing w:line="540" w:lineRule="exact"/>
        <w:ind w:firstLine="640"/>
        <w:contextualSpacing/>
        <w:rPr>
          <w:rFonts w:ascii="仿宋_GB2312" w:hAnsi="仿宋_GB2312" w:cs="仿宋_GB2312"/>
          <w:sz w:val="32"/>
          <w:szCs w:val="32"/>
        </w:rPr>
        <w:sectPr w:rsidR="00650903">
          <w:pgSz w:w="11907" w:h="16840"/>
          <w:pgMar w:top="1440" w:right="1797" w:bottom="1440" w:left="1797" w:header="851" w:footer="992" w:gutter="0"/>
          <w:cols w:space="720"/>
          <w:docGrid w:type="linesAndChars" w:linePitch="381"/>
        </w:sectPr>
      </w:pPr>
      <w:r>
        <w:rPr>
          <w:rFonts w:ascii="仿宋_GB2312" w:hAnsi="仿宋_GB2312" w:cs="仿宋_GB2312" w:hint="eastAsia"/>
          <w:kern w:val="0"/>
          <w:sz w:val="32"/>
          <w:szCs w:val="32"/>
        </w:rPr>
        <w:t>附件：评分表</w:t>
      </w:r>
    </w:p>
    <w:p w:rsidR="00650903" w:rsidRDefault="00650903">
      <w:pPr>
        <w:snapToGrid w:val="0"/>
        <w:spacing w:line="580" w:lineRule="exact"/>
        <w:ind w:firstLineChars="0" w:firstLine="0"/>
        <w:rPr>
          <w:rFonts w:ascii="仿宋_GB2312" w:hAnsi="仿宋_GB2312" w:cs="仿宋_GB2312"/>
          <w:sz w:val="32"/>
          <w:szCs w:val="32"/>
        </w:rPr>
      </w:pPr>
    </w:p>
    <w:p w:rsidR="00650903" w:rsidRDefault="000F6F95">
      <w:pPr>
        <w:snapToGrid w:val="0"/>
        <w:spacing w:line="580" w:lineRule="exact"/>
        <w:ind w:firstLineChars="0" w:firstLine="0"/>
        <w:rPr>
          <w:rFonts w:ascii="仿宋_GB2312" w:hAnsi="仿宋_GB2312" w:cs="仿宋_GB2312"/>
          <w:sz w:val="32"/>
          <w:szCs w:val="32"/>
        </w:rPr>
      </w:pPr>
      <w:r>
        <w:rPr>
          <w:rFonts w:ascii="仿宋_GB2312" w:hAnsi="仿宋_GB2312" w:cs="仿宋_GB2312" w:hint="eastAsia"/>
          <w:sz w:val="32"/>
          <w:szCs w:val="32"/>
        </w:rPr>
        <w:t>附件：</w:t>
      </w:r>
    </w:p>
    <w:p w:rsidR="00650903" w:rsidRDefault="000F6F95">
      <w:pPr>
        <w:pStyle w:val="a0"/>
        <w:ind w:firstLine="560"/>
      </w:pPr>
      <w:r>
        <w:rPr>
          <w:rFonts w:hint="eastAsia"/>
          <w:noProof/>
        </w:rPr>
        <w:drawing>
          <wp:anchor distT="0" distB="0" distL="114300" distR="114300" simplePos="0" relativeHeight="251665408" behindDoc="0" locked="0" layoutInCell="1" allowOverlap="1">
            <wp:simplePos x="0" y="0"/>
            <wp:positionH relativeFrom="column">
              <wp:posOffset>64770</wp:posOffset>
            </wp:positionH>
            <wp:positionV relativeFrom="paragraph">
              <wp:posOffset>359410</wp:posOffset>
            </wp:positionV>
            <wp:extent cx="5228590" cy="7162165"/>
            <wp:effectExtent l="0" t="0" r="13970" b="635"/>
            <wp:wrapTopAndBottom/>
            <wp:docPr id="4" name="图片 4" descr="北京市儿童福利院-专家评分汇总表-张琳汇-5-12_三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北京市儿童福利院-专家评分汇总表-张琳汇-5-12_三级"/>
                    <pic:cNvPicPr>
                      <a:picLocks noChangeAspect="1"/>
                    </pic:cNvPicPr>
                  </pic:nvPicPr>
                  <pic:blipFill>
                    <a:blip r:embed="rId21" cstate="print"/>
                    <a:stretch>
                      <a:fillRect/>
                    </a:stretch>
                  </pic:blipFill>
                  <pic:spPr>
                    <a:xfrm>
                      <a:off x="0" y="0"/>
                      <a:ext cx="5228590" cy="7162165"/>
                    </a:xfrm>
                    <a:prstGeom prst="rect">
                      <a:avLst/>
                    </a:prstGeom>
                  </pic:spPr>
                </pic:pic>
              </a:graphicData>
            </a:graphic>
          </wp:anchor>
        </w:drawing>
      </w:r>
    </w:p>
    <w:sectPr w:rsidR="00650903" w:rsidSect="005254D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0117" w:rsidRDefault="00060117">
      <w:pPr>
        <w:spacing w:line="240" w:lineRule="auto"/>
        <w:ind w:firstLine="560"/>
      </w:pPr>
      <w:r>
        <w:separator/>
      </w:r>
    </w:p>
  </w:endnote>
  <w:endnote w:type="continuationSeparator" w:id="0">
    <w:p w:rsidR="00060117" w:rsidRDefault="00060117">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C84C5591-021D-4290-AA64-133C378967F1}"/>
  </w:font>
  <w:font w:name="黑体">
    <w:altName w:val="SimHei"/>
    <w:panose1 w:val="02010609060101010101"/>
    <w:charset w:val="86"/>
    <w:family w:val="modern"/>
    <w:pitch w:val="fixed"/>
    <w:sig w:usb0="800002BF" w:usb1="38CF7CFA" w:usb2="00000016" w:usb3="00000000" w:csb0="00040001" w:csb1="00000000"/>
    <w:embedRegular r:id="rId2" w:subsetted="1" w:fontKey="{2A127723-1219-443B-9505-2131F78E3540}"/>
  </w:font>
  <w:font w:name="仿宋">
    <w:panose1 w:val="02010609060101010101"/>
    <w:charset w:val="86"/>
    <w:family w:val="modern"/>
    <w:pitch w:val="fixed"/>
    <w:sig w:usb0="800002BF" w:usb1="38CF7CFA" w:usb2="00000016" w:usb3="00000000" w:csb0="00040001" w:csb1="00000000"/>
    <w:embedBold r:id="rId3" w:subsetted="1" w:fontKey="{2C6255DE-A595-457B-B9F4-2CBB0E906478}"/>
  </w:font>
  <w:font w:name="方正小标宋简体">
    <w:panose1 w:val="03000509000000000000"/>
    <w:charset w:val="86"/>
    <w:family w:val="script"/>
    <w:pitch w:val="fixed"/>
    <w:sig w:usb0="00000001" w:usb1="080E0000" w:usb2="00000010" w:usb3="00000000" w:csb0="00040000" w:csb1="00000000"/>
    <w:embedBold r:id="rId4" w:subsetted="1" w:fontKey="{43AB742D-78C5-4955-9C3B-3382F7A87032}"/>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0903" w:rsidRDefault="00650903">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481D" w:rsidRDefault="0025481D">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0903" w:rsidRDefault="00650903">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0903" w:rsidRDefault="005254DE">
    <w:pPr>
      <w:pStyle w:val="a4"/>
      <w:ind w:firstLine="560"/>
      <w:jc w:val="center"/>
    </w:pPr>
    <w:r>
      <w:fldChar w:fldCharType="begin"/>
    </w:r>
    <w:r w:rsidR="000F6F95">
      <w:instrText xml:space="preserve"> PAGE   \* MERGEFORMAT </w:instrText>
    </w:r>
    <w:r>
      <w:fldChar w:fldCharType="separate"/>
    </w:r>
    <w:r w:rsidR="00E02AD7" w:rsidRPr="00E02AD7">
      <w:rPr>
        <w:noProof/>
        <w:lang w:val="zh-CN"/>
      </w:rPr>
      <w:t>5</w:t>
    </w:r>
    <w:r>
      <w:rPr>
        <w:lang w:val="zh-CN"/>
      </w:rPr>
      <w:fldChar w:fldCharType="end"/>
    </w:r>
  </w:p>
  <w:p w:rsidR="00650903" w:rsidRDefault="00650903">
    <w:pPr>
      <w:pStyle w:val="a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0903" w:rsidRDefault="005254DE">
    <w:pPr>
      <w:pStyle w:val="a4"/>
      <w:ind w:firstLine="560"/>
      <w:jc w:val="center"/>
    </w:pPr>
    <w:r>
      <w:fldChar w:fldCharType="begin"/>
    </w:r>
    <w:r w:rsidR="000F6F95">
      <w:instrText xml:space="preserve"> PAGE   \* MERGEFORMAT </w:instrText>
    </w:r>
    <w:r>
      <w:fldChar w:fldCharType="separate"/>
    </w:r>
    <w:r w:rsidR="00E02AD7" w:rsidRPr="00E02AD7">
      <w:rPr>
        <w:noProof/>
        <w:lang w:val="zh-CN"/>
      </w:rPr>
      <w:t>21</w:t>
    </w:r>
    <w:r>
      <w:rPr>
        <w:lang w:val="zh-CN"/>
      </w:rPr>
      <w:fldChar w:fldCharType="end"/>
    </w:r>
  </w:p>
  <w:p w:rsidR="00650903" w:rsidRDefault="00650903">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0117" w:rsidRDefault="00060117">
      <w:pPr>
        <w:spacing w:line="240" w:lineRule="auto"/>
        <w:ind w:firstLine="560"/>
      </w:pPr>
      <w:r>
        <w:separator/>
      </w:r>
    </w:p>
  </w:footnote>
  <w:footnote w:type="continuationSeparator" w:id="0">
    <w:p w:rsidR="00060117" w:rsidRDefault="00060117">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0903" w:rsidRDefault="00650903">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0903" w:rsidRDefault="00650903">
    <w:pPr>
      <w:pStyle w:val="a5"/>
      <w:pBdr>
        <w:bottom w:val="none" w:sz="0" w:space="1"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0903" w:rsidRDefault="00650903">
    <w:pPr>
      <w:pStyle w:val="a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mRmNGIxNTcwMjEzZTBhZmU2NzA2MDkzYzE0MTFmMGIifQ=="/>
  </w:docVars>
  <w:rsids>
    <w:rsidRoot w:val="43B662B7"/>
    <w:rsid w:val="000472AC"/>
    <w:rsid w:val="00060117"/>
    <w:rsid w:val="00062AFB"/>
    <w:rsid w:val="000F6F95"/>
    <w:rsid w:val="001247A9"/>
    <w:rsid w:val="001B0C0B"/>
    <w:rsid w:val="0025481D"/>
    <w:rsid w:val="00297355"/>
    <w:rsid w:val="00302B4A"/>
    <w:rsid w:val="00426C21"/>
    <w:rsid w:val="00497343"/>
    <w:rsid w:val="004C2AA7"/>
    <w:rsid w:val="004D4D87"/>
    <w:rsid w:val="005254DE"/>
    <w:rsid w:val="0056045E"/>
    <w:rsid w:val="0064447B"/>
    <w:rsid w:val="00650903"/>
    <w:rsid w:val="006642C8"/>
    <w:rsid w:val="00677A8A"/>
    <w:rsid w:val="006C0478"/>
    <w:rsid w:val="006C3A72"/>
    <w:rsid w:val="006C72E3"/>
    <w:rsid w:val="007A3D4F"/>
    <w:rsid w:val="00897904"/>
    <w:rsid w:val="008B583C"/>
    <w:rsid w:val="008E4ECE"/>
    <w:rsid w:val="00904487"/>
    <w:rsid w:val="00907B3B"/>
    <w:rsid w:val="00913D96"/>
    <w:rsid w:val="009A0026"/>
    <w:rsid w:val="00A419B7"/>
    <w:rsid w:val="00A43AD9"/>
    <w:rsid w:val="00A458F1"/>
    <w:rsid w:val="00AB5C8E"/>
    <w:rsid w:val="00AF1912"/>
    <w:rsid w:val="00B65DC8"/>
    <w:rsid w:val="00BE20D2"/>
    <w:rsid w:val="00C26800"/>
    <w:rsid w:val="00C327E2"/>
    <w:rsid w:val="00CA1B66"/>
    <w:rsid w:val="00D30B6B"/>
    <w:rsid w:val="00DE3116"/>
    <w:rsid w:val="00E02AD7"/>
    <w:rsid w:val="00E730E7"/>
    <w:rsid w:val="00ED3F3B"/>
    <w:rsid w:val="00F81E11"/>
    <w:rsid w:val="05F0416B"/>
    <w:rsid w:val="08EE53BC"/>
    <w:rsid w:val="09EE0D89"/>
    <w:rsid w:val="1122167C"/>
    <w:rsid w:val="115D291E"/>
    <w:rsid w:val="11B505DD"/>
    <w:rsid w:val="13C32952"/>
    <w:rsid w:val="14B00D4D"/>
    <w:rsid w:val="15B34F99"/>
    <w:rsid w:val="1EA24FAD"/>
    <w:rsid w:val="215A70F7"/>
    <w:rsid w:val="247051DA"/>
    <w:rsid w:val="2E255EB0"/>
    <w:rsid w:val="3AF335C3"/>
    <w:rsid w:val="3B001ABE"/>
    <w:rsid w:val="437C436D"/>
    <w:rsid w:val="43B662B7"/>
    <w:rsid w:val="47C1032E"/>
    <w:rsid w:val="48B25FDD"/>
    <w:rsid w:val="4B124C0F"/>
    <w:rsid w:val="4B73257A"/>
    <w:rsid w:val="4C4A377A"/>
    <w:rsid w:val="4F2163AC"/>
    <w:rsid w:val="56014904"/>
    <w:rsid w:val="5E576AA7"/>
    <w:rsid w:val="5F3A65B1"/>
    <w:rsid w:val="60E30CD7"/>
    <w:rsid w:val="63F975E8"/>
    <w:rsid w:val="677175D4"/>
    <w:rsid w:val="68D84CAE"/>
    <w:rsid w:val="6EBB19BE"/>
    <w:rsid w:val="779E22EB"/>
    <w:rsid w:val="7BBB30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012DF75A-8EFA-47EB-8665-739F4B0E9D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99" w:qFormat="1"/>
    <w:lsdException w:name="toc 2" w:uiPriority="39"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unhideWhenUsed="1" w:qFormat="1"/>
    <w:lsdException w:name="footnote text" w:semiHidden="1" w:unhideWhenUsed="1"/>
    <w:lsdException w:name="annotation text" w:semiHidden="1" w:unhideWhenUsed="1"/>
    <w:lsdException w:name="header" w:uiPriority="99"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99"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rsid w:val="005254DE"/>
    <w:pPr>
      <w:widowControl w:val="0"/>
      <w:spacing w:line="500" w:lineRule="exact"/>
      <w:ind w:firstLineChars="200" w:firstLine="200"/>
      <w:jc w:val="both"/>
    </w:pPr>
    <w:rPr>
      <w:rFonts w:eastAsia="仿宋_GB2312"/>
      <w:kern w:val="2"/>
      <w:sz w:val="28"/>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unhideWhenUsed/>
    <w:qFormat/>
    <w:rsid w:val="005254DE"/>
    <w:pPr>
      <w:ind w:firstLine="420"/>
    </w:pPr>
  </w:style>
  <w:style w:type="paragraph" w:styleId="a4">
    <w:name w:val="footer"/>
    <w:basedOn w:val="a"/>
    <w:uiPriority w:val="99"/>
    <w:qFormat/>
    <w:rsid w:val="005254DE"/>
    <w:pPr>
      <w:tabs>
        <w:tab w:val="center" w:pos="4153"/>
        <w:tab w:val="right" w:pos="8306"/>
      </w:tabs>
      <w:ind w:firstLineChars="0" w:firstLine="0"/>
      <w:jc w:val="left"/>
    </w:pPr>
    <w:rPr>
      <w:rFonts w:eastAsia="宋体"/>
      <w:kern w:val="0"/>
      <w:sz w:val="18"/>
      <w:szCs w:val="18"/>
    </w:rPr>
  </w:style>
  <w:style w:type="paragraph" w:styleId="a5">
    <w:name w:val="header"/>
    <w:basedOn w:val="a"/>
    <w:uiPriority w:val="99"/>
    <w:qFormat/>
    <w:rsid w:val="005254DE"/>
    <w:pPr>
      <w:pBdr>
        <w:bottom w:val="single" w:sz="6" w:space="1" w:color="auto"/>
      </w:pBdr>
      <w:tabs>
        <w:tab w:val="center" w:pos="4153"/>
        <w:tab w:val="right" w:pos="8306"/>
      </w:tabs>
      <w:ind w:firstLineChars="0" w:firstLine="0"/>
      <w:jc w:val="center"/>
    </w:pPr>
    <w:rPr>
      <w:rFonts w:eastAsia="宋体"/>
      <w:kern w:val="0"/>
      <w:sz w:val="18"/>
      <w:szCs w:val="18"/>
    </w:rPr>
  </w:style>
  <w:style w:type="paragraph" w:styleId="1">
    <w:name w:val="toc 1"/>
    <w:basedOn w:val="a"/>
    <w:next w:val="a"/>
    <w:uiPriority w:val="99"/>
    <w:qFormat/>
    <w:rsid w:val="005254DE"/>
    <w:pPr>
      <w:tabs>
        <w:tab w:val="right" w:leader="dot" w:pos="8302"/>
      </w:tabs>
      <w:ind w:left="567" w:firstLineChars="0" w:firstLine="0"/>
      <w:jc w:val="left"/>
    </w:pPr>
    <w:rPr>
      <w:rFonts w:ascii="黑体" w:eastAsia="黑体"/>
      <w:kern w:val="0"/>
      <w:szCs w:val="20"/>
    </w:rPr>
  </w:style>
  <w:style w:type="paragraph" w:styleId="2">
    <w:name w:val="toc 2"/>
    <w:basedOn w:val="a"/>
    <w:next w:val="a"/>
    <w:uiPriority w:val="39"/>
    <w:qFormat/>
    <w:rsid w:val="005254DE"/>
    <w:pPr>
      <w:ind w:leftChars="200" w:left="420"/>
    </w:pPr>
  </w:style>
  <w:style w:type="character" w:styleId="a6">
    <w:name w:val="page number"/>
    <w:uiPriority w:val="99"/>
    <w:qFormat/>
    <w:rsid w:val="005254DE"/>
    <w:rPr>
      <w:rFonts w:cs="Times New Roman"/>
    </w:rPr>
  </w:style>
  <w:style w:type="character" w:styleId="a7">
    <w:name w:val="Hyperlink"/>
    <w:uiPriority w:val="99"/>
    <w:qFormat/>
    <w:rsid w:val="005254DE"/>
    <w:rPr>
      <w:rFonts w:cs="Times New Roman"/>
      <w:color w:val="0000FF"/>
      <w:u w:val="single"/>
    </w:rPr>
  </w:style>
  <w:style w:type="paragraph" w:customStyle="1" w:styleId="10">
    <w:name w:val="修订1"/>
    <w:hidden/>
    <w:uiPriority w:val="99"/>
    <w:semiHidden/>
    <w:qFormat/>
    <w:rsid w:val="005254DE"/>
    <w:rPr>
      <w:rFonts w:eastAsia="仿宋_GB2312"/>
      <w:kern w:val="2"/>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F7A2353-A567-43B8-8E34-9D00AE0B0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25</Pages>
  <Words>1584</Words>
  <Characters>9029</Characters>
  <Application>Microsoft Office Word</Application>
  <DocSecurity>0</DocSecurity>
  <Lines>75</Lines>
  <Paragraphs>21</Paragraphs>
  <ScaleCrop>false</ScaleCrop>
  <Company/>
  <LinksUpToDate>false</LinksUpToDate>
  <CharactersWithSpaces>10592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音</dc:creator>
  <cp:lastModifiedBy>高小云</cp:lastModifiedBy>
  <cp:revision>19</cp:revision>
  <cp:lastPrinted>2023-05-19T02:50:00Z</cp:lastPrinted>
  <dcterms:created xsi:type="dcterms:W3CDTF">2023-05-13T01:58:00Z</dcterms:created>
  <dcterms:modified xsi:type="dcterms:W3CDTF">2023-06-09T01:56:00Z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77AE42A3C6FB4E02B64F81A4A36F4EF9_13</vt:lpwstr>
  </property>
</Properties>
</file>