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pict>
          <v:shape id="_x0000_s1026" o:spid="_x0000_s1026" o:spt="75" alt="4e0fe4714ddff6bfddf491e48879063" type="#_x0000_t75" style="position:absolute;left:0pt;margin-left:-97.5pt;margin-top:-57.95pt;height:809.35pt;width:599pt;mso-wrap-distance-bottom:0pt;mso-wrap-distance-left:9pt;mso-wrap-distance-right:9pt;mso-wrap-distance-top:0pt;z-index:251659264;mso-width-relative:page;mso-height-relative:page;" filled="f" o:preferrelative="t" stroked="f" coordsize="21600,21600">
            <v:path/>
            <v:fill on="f" focussize="0,0"/>
            <v:stroke on="f"/>
            <v:imagedata r:id="rId6" o:title="4e0fe4714ddff6bfddf491e48879063"/>
            <o:lock v:ext="edit" aspectratio="t"/>
            <w10:wrap type="square"/>
          </v:shape>
        </w:pict>
      </w:r>
      <w:r>
        <w:br w:type="page"/>
      </w:r>
    </w:p>
    <w:p>
      <w:pPr>
        <w:pStyle w:val="13"/>
        <w:jc w:val="center"/>
        <w:rPr>
          <w:rFonts w:ascii="黑体" w:hAnsi="黑体" w:eastAsia="黑体"/>
          <w:color w:val="auto"/>
          <w:sz w:val="44"/>
          <w:szCs w:val="44"/>
        </w:rPr>
      </w:pPr>
      <w:r>
        <w:rPr>
          <w:rFonts w:ascii="黑体" w:hAnsi="黑体" w:eastAsia="黑体"/>
          <w:color w:val="auto"/>
          <w:sz w:val="44"/>
          <w:szCs w:val="44"/>
          <w:lang w:val="zh-CN"/>
        </w:rPr>
        <w:t>目</w:t>
      </w:r>
      <w:r>
        <w:rPr>
          <w:rFonts w:hint="eastAsia" w:ascii="黑体" w:hAnsi="黑体" w:eastAsia="黑体"/>
          <w:color w:val="auto"/>
          <w:sz w:val="44"/>
          <w:szCs w:val="44"/>
          <w:lang w:val="zh-CN"/>
        </w:rPr>
        <w:t xml:space="preserve"> </w:t>
      </w:r>
      <w:r>
        <w:rPr>
          <w:rFonts w:ascii="黑体" w:hAnsi="黑体" w:eastAsia="黑体"/>
          <w:color w:val="auto"/>
          <w:sz w:val="44"/>
          <w:szCs w:val="44"/>
          <w:lang w:val="zh-CN"/>
        </w:rPr>
        <w:t>录</w:t>
      </w:r>
    </w:p>
    <w:p>
      <w:pPr>
        <w:pStyle w:val="8"/>
        <w:tabs>
          <w:tab w:val="right" w:leader="dot" w:pos="8306"/>
          <w:tab w:val="clear" w:pos="8296"/>
        </w:tabs>
        <w:rPr>
          <w:rFonts w:hint="eastAsia" w:ascii="仿宋_GB2312" w:hAnsi="仿宋_GB2312" w:eastAsia="仿宋_GB2312" w:cs="仿宋_GB2312"/>
          <w:sz w:val="28"/>
          <w:szCs w:val="28"/>
        </w:rPr>
      </w:pPr>
      <w:r>
        <w:rPr>
          <w:rStyle w:val="12"/>
          <w:rFonts w:hint="eastAsia" w:ascii="仿宋_GB2312" w:hAnsi="仿宋_GB2312" w:eastAsia="仿宋_GB2312" w:cs="仿宋_GB2312"/>
          <w:color w:val="auto"/>
          <w:kern w:val="2"/>
          <w:sz w:val="28"/>
          <w:szCs w:val="28"/>
          <w:lang w:val="en-US" w:eastAsia="zh-CN" w:bidi="ar-SA"/>
        </w:rPr>
        <w:fldChar w:fldCharType="begin"/>
      </w:r>
      <w:r>
        <w:rPr>
          <w:rStyle w:val="12"/>
          <w:rFonts w:hint="eastAsia" w:ascii="仿宋_GB2312" w:hAnsi="仿宋_GB2312" w:eastAsia="仿宋_GB2312" w:cs="仿宋_GB2312"/>
          <w:color w:val="auto"/>
          <w:kern w:val="2"/>
          <w:sz w:val="28"/>
          <w:szCs w:val="28"/>
          <w:lang w:val="en-US" w:eastAsia="zh-CN" w:bidi="ar-SA"/>
        </w:rPr>
        <w:instrText xml:space="preserve"> TOC \o "1-3" \h \z \u </w:instrText>
      </w:r>
      <w:r>
        <w:rPr>
          <w:rStyle w:val="12"/>
          <w:rFonts w:hint="eastAsia" w:ascii="仿宋_GB2312" w:hAnsi="仿宋_GB2312" w:eastAsia="仿宋_GB2312" w:cs="仿宋_GB2312"/>
          <w:color w:val="auto"/>
          <w:kern w:val="2"/>
          <w:sz w:val="28"/>
          <w:szCs w:val="28"/>
          <w:lang w:val="en-US" w:eastAsia="zh-CN" w:bidi="ar-SA"/>
        </w:rPr>
        <w:fldChar w:fldCharType="separate"/>
      </w:r>
      <w:r>
        <w:rPr>
          <w:rFonts w:hint="eastAsia" w:ascii="仿宋_GB2312" w:hAnsi="仿宋_GB2312" w:eastAsia="仿宋_GB2312" w:cs="仿宋_GB2312"/>
          <w:color w:val="auto"/>
          <w:kern w:val="2"/>
          <w:sz w:val="28"/>
          <w:szCs w:val="28"/>
          <w:lang w:val="en-US" w:eastAsia="zh-CN" w:bidi="ar-SA"/>
        </w:rPr>
        <w:fldChar w:fldCharType="begin"/>
      </w:r>
      <w:r>
        <w:rPr>
          <w:rFonts w:hint="eastAsia" w:ascii="仿宋_GB2312" w:hAnsi="仿宋_GB2312" w:eastAsia="仿宋_GB2312" w:cs="仿宋_GB2312"/>
          <w:kern w:val="2"/>
          <w:sz w:val="28"/>
          <w:szCs w:val="28"/>
          <w:lang w:val="en-US" w:eastAsia="zh-CN" w:bidi="ar-SA"/>
        </w:rPr>
        <w:instrText xml:space="preserve"> HYPERLINK \l _Toc16088 </w:instrText>
      </w:r>
      <w:r>
        <w:rPr>
          <w:rFonts w:hint="eastAsia" w:ascii="仿宋_GB2312" w:hAnsi="仿宋_GB2312" w:eastAsia="仿宋_GB2312" w:cs="仿宋_GB2312"/>
          <w:kern w:val="2"/>
          <w:sz w:val="28"/>
          <w:szCs w:val="28"/>
          <w:lang w:val="en-US" w:eastAsia="zh-CN" w:bidi="ar-SA"/>
        </w:rPr>
        <w:fldChar w:fldCharType="separate"/>
      </w:r>
      <w:r>
        <w:rPr>
          <w:rFonts w:hint="eastAsia" w:ascii="仿宋_GB2312" w:hAnsi="仿宋_GB2312" w:eastAsia="仿宋_GB2312" w:cs="仿宋_GB2312"/>
          <w:kern w:val="0"/>
          <w:sz w:val="28"/>
          <w:szCs w:val="28"/>
        </w:rPr>
        <w:t>一、部门概述</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_Toc16088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en-US"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_Toc8884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rPr>
        <w:t>（一）机构设置及职责工作任务情况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_Toc8884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_Toc23671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（二）部门整体绩效目标设立情况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_Toc23671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8"/>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_Toc23644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kern w:val="0"/>
          <w:sz w:val="28"/>
          <w:szCs w:val="28"/>
          <w:highlight w:val="none"/>
        </w:rPr>
        <w:t>二、当年预算执行情况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_Toc23644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_Toc32143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（一）收入情况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_Toc32143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_Toc32257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（二）支出情况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_Toc32257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8"/>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_Toc15484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kern w:val="0"/>
          <w:sz w:val="28"/>
          <w:szCs w:val="28"/>
          <w:highlight w:val="none"/>
        </w:rPr>
        <w:t>三、整体绩效目标实现情况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_Toc15484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_Toc15816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（一）产出完成情况分析</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_Toc15816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_Toc20253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（二）效果实现情况分析</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_Toc20253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8"/>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_Toc14619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kern w:val="0"/>
          <w:sz w:val="28"/>
          <w:szCs w:val="28"/>
          <w:highlight w:val="none"/>
        </w:rPr>
        <w:t>四、预算管理情况分析</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_Toc14619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_Toc18459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（一）财务管理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_Toc18459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_Toc32610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（二）资产管理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_Toc32610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_Toc2861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（三）绩效管理</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_Toc2861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_Toc30614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（四）结转结余率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_Toc30614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_Toc21737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sz w:val="28"/>
          <w:szCs w:val="28"/>
          <w:highlight w:val="none"/>
        </w:rPr>
        <w:t>（五）部门预决算差异率</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_Toc21737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8"/>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_Toc8059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val="0"/>
          <w:kern w:val="0"/>
          <w:sz w:val="28"/>
          <w:szCs w:val="28"/>
          <w:highlight w:val="none"/>
        </w:rPr>
        <w:t>五、总体评价结论</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_Toc8059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_Toc31128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val="0"/>
          <w:sz w:val="28"/>
          <w:szCs w:val="28"/>
          <w:highlight w:val="none"/>
        </w:rPr>
        <w:t>（一）评价得分情况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_Toc31128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9"/>
        <w:tabs>
          <w:tab w:val="right" w:leader="dot" w:pos="830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_Toc22904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val="0"/>
          <w:sz w:val="28"/>
          <w:szCs w:val="28"/>
          <w:highlight w:val="none"/>
        </w:rPr>
        <w:t>（二）存在的问题及原因分析</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_Toc22904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8"/>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_Toc23588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val="0"/>
          <w:kern w:val="0"/>
          <w:sz w:val="28"/>
          <w:szCs w:val="28"/>
          <w:highlight w:val="none"/>
        </w:rPr>
        <w:t>六、措施建议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_Toc23588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8"/>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color w:val="auto"/>
          <w:kern w:val="2"/>
          <w:sz w:val="28"/>
          <w:szCs w:val="28"/>
          <w:lang w:val="zh-CN" w:eastAsia="zh-CN" w:bidi="ar-SA"/>
        </w:rPr>
        <w:fldChar w:fldCharType="begin"/>
      </w:r>
      <w:r>
        <w:rPr>
          <w:rFonts w:hint="eastAsia" w:ascii="仿宋_GB2312" w:hAnsi="仿宋_GB2312" w:eastAsia="仿宋_GB2312" w:cs="仿宋_GB2312"/>
          <w:kern w:val="2"/>
          <w:sz w:val="28"/>
          <w:szCs w:val="28"/>
          <w:lang w:val="zh-CN" w:eastAsia="zh-CN" w:bidi="ar-SA"/>
        </w:rPr>
        <w:instrText xml:space="preserve"> HYPERLINK \l _Toc26218 </w:instrText>
      </w:r>
      <w:r>
        <w:rPr>
          <w:rFonts w:hint="eastAsia" w:ascii="仿宋_GB2312" w:hAnsi="仿宋_GB2312" w:eastAsia="仿宋_GB2312" w:cs="仿宋_GB2312"/>
          <w:kern w:val="2"/>
          <w:sz w:val="28"/>
          <w:szCs w:val="28"/>
          <w:lang w:val="zh-CN" w:eastAsia="zh-CN" w:bidi="ar-SA"/>
        </w:rPr>
        <w:fldChar w:fldCharType="separate"/>
      </w:r>
      <w:r>
        <w:rPr>
          <w:rFonts w:hint="eastAsia" w:ascii="仿宋_GB2312" w:hAnsi="仿宋_GB2312" w:eastAsia="仿宋_GB2312" w:cs="仿宋_GB2312"/>
          <w:bCs w:val="0"/>
          <w:kern w:val="0"/>
          <w:sz w:val="28"/>
          <w:szCs w:val="28"/>
          <w:highlight w:val="none"/>
          <w:lang w:val="en-US" w:eastAsia="zh-CN" w:bidi="ar-SA"/>
        </w:rPr>
        <w:t>七、附件</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_Toc26218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color w:val="auto"/>
          <w:kern w:val="2"/>
          <w:sz w:val="28"/>
          <w:szCs w:val="28"/>
          <w:lang w:val="zh-CN" w:eastAsia="zh-CN" w:bidi="ar-SA"/>
        </w:rPr>
        <w:fldChar w:fldCharType="end"/>
      </w:r>
    </w:p>
    <w:p>
      <w:pPr>
        <w:pStyle w:val="8"/>
        <w:tabs>
          <w:tab w:val="right" w:leader="dot" w:pos="8306"/>
          <w:tab w:val="clear" w:pos="8296"/>
        </w:tabs>
        <w:rPr>
          <w:rFonts w:ascii="黑体" w:hAnsi="黑体" w:eastAsia="黑体"/>
          <w:sz w:val="36"/>
          <w:szCs w:val="36"/>
        </w:rPr>
        <w:sectPr>
          <w:footerReference r:id="rId3" w:type="default"/>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color w:val="auto"/>
          <w:kern w:val="2"/>
          <w:sz w:val="28"/>
          <w:szCs w:val="28"/>
          <w:lang w:val="zh-CN" w:eastAsia="zh-CN" w:bidi="ar-SA"/>
        </w:rPr>
        <w:fldChar w:fldCharType="end"/>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36"/>
          <w:szCs w:val="36"/>
        </w:rPr>
      </w:pPr>
      <w:r>
        <w:rPr>
          <w:rFonts w:hint="eastAsia" w:ascii="方正小标宋简体" w:eastAsia="方正小标宋简体"/>
          <w:sz w:val="36"/>
          <w:szCs w:val="36"/>
        </w:rPr>
        <w:t>北京市社会福利事务管理中心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黑体" w:hAnsi="黑体" w:eastAsia="黑体"/>
          <w:sz w:val="36"/>
          <w:szCs w:val="36"/>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0"/>
        <w:rPr>
          <w:rFonts w:hint="eastAsia" w:ascii="黑体" w:hAnsi="黑体" w:eastAsia="黑体" w:cs="宋体"/>
          <w:color w:val="000000"/>
          <w:kern w:val="0"/>
          <w:sz w:val="32"/>
          <w:szCs w:val="32"/>
        </w:rPr>
      </w:pPr>
      <w:bookmarkStart w:id="0" w:name="_Toc392770087"/>
      <w:bookmarkStart w:id="1" w:name="_Toc16088"/>
      <w:r>
        <w:rPr>
          <w:rFonts w:hint="eastAsia" w:ascii="黑体" w:hAnsi="黑体" w:eastAsia="黑体" w:cs="宋体"/>
          <w:color w:val="000000"/>
          <w:kern w:val="0"/>
          <w:sz w:val="32"/>
          <w:szCs w:val="32"/>
        </w:rPr>
        <w:t>一、部门概述</w:t>
      </w:r>
      <w:bookmarkEnd w:id="0"/>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sz w:val="32"/>
          <w:szCs w:val="32"/>
        </w:rPr>
      </w:pPr>
      <w:bookmarkStart w:id="2" w:name="_Toc8884"/>
      <w:bookmarkStart w:id="3" w:name="_Toc392770088"/>
      <w:r>
        <w:rPr>
          <w:rFonts w:hint="eastAsia" w:ascii="楷体_GB2312" w:eastAsia="楷体_GB2312"/>
          <w:sz w:val="32"/>
          <w:szCs w:val="32"/>
        </w:rPr>
        <w:t>（一）机构设置及职责工作任务情况</w:t>
      </w:r>
      <w:bookmarkEnd w:id="2"/>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rPr>
          <w:rFonts w:ascii="仿宋_GB2312" w:hAnsi="仿宋" w:eastAsia="仿宋_GB2312"/>
          <w:sz w:val="32"/>
          <w:szCs w:val="32"/>
        </w:rPr>
      </w:pPr>
      <w:r>
        <w:rPr>
          <w:rFonts w:hint="eastAsia" w:ascii="仿宋_GB2312" w:hAnsi="仿宋" w:eastAsia="仿宋_GB2312"/>
          <w:sz w:val="32"/>
          <w:szCs w:val="32"/>
        </w:rPr>
        <w:t>1</w:t>
      </w:r>
      <w:r>
        <w:rPr>
          <w:rFonts w:hint="eastAsia" w:ascii="仿宋_GB2312" w:hAnsi="仿宋" w:eastAsia="仿宋_GB2312"/>
          <w:sz w:val="32"/>
          <w:szCs w:val="32"/>
          <w:lang w:eastAsia="zh-CN"/>
        </w:rPr>
        <w:t>.</w:t>
      </w:r>
      <w:r>
        <w:rPr>
          <w:rFonts w:hint="eastAsia" w:ascii="仿宋_GB2312" w:hAnsi="仿宋" w:eastAsia="仿宋_GB2312"/>
          <w:sz w:val="32"/>
          <w:szCs w:val="32"/>
        </w:rPr>
        <w:t>机构设置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北京市九届市委常委第172次会议关于市民政事业管理体制改革试点工作的决定精神和《北京市机构编制委员会关于成立北京市社会福利事务管理中心的通知》（京编委[2006]38号）设立北京市社会福利事务管理中心（以下简称“市福利中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为副局级公益一类事业单位。根据《北京市机构编制委员会办公室关于同意调整市民政局所属部分事业单位机构编制事项的函》（京编办事[2014]123号），重新核定内置15个处室，分别为办公室、规划发展处、福利事务一处、福利事务二处、企业改革处、信息与标准化处、资产管理处、计划财务处、审计处、行政保卫处、组织处、人事处、纪检工作处、工会、离退休工作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市福利中心及下属</w:t>
      </w:r>
      <w:r>
        <w:rPr>
          <w:rFonts w:ascii="仿宋_GB2312" w:hAnsi="仿宋_GB2312" w:eastAsia="仿宋_GB2312" w:cs="仿宋_GB2312"/>
          <w:color w:val="000000"/>
          <w:sz w:val="32"/>
          <w:szCs w:val="32"/>
          <w:highlight w:val="none"/>
        </w:rPr>
        <w:t>16</w:t>
      </w:r>
      <w:r>
        <w:rPr>
          <w:rFonts w:hint="eastAsia" w:ascii="仿宋_GB2312" w:hAnsi="仿宋_GB2312" w:eastAsia="仿宋_GB2312" w:cs="仿宋_GB2312"/>
          <w:color w:val="000000"/>
          <w:sz w:val="32"/>
          <w:szCs w:val="32"/>
        </w:rPr>
        <w:t>个预算单位，分别为：北京市第一社会福利院、北京市第二社会福利院、北京市第三社会福利院、北京市第四社会福利院、北京市儿童福利院、北京市第二儿童福利院、北京市社会福利医院、北京市民政工业总公司、北京SOS儿童村、北京市养老护理照料示范中心、北京市康复辅具技术中心、北京市八宝山革命公墓、北京市八宝山殡仪馆、北京市东郊殡仪馆、北京市万安公墓、北京市殡葬服务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sz w:val="32"/>
          <w:szCs w:val="32"/>
        </w:rPr>
      </w:pPr>
      <w:r>
        <w:rPr>
          <w:rFonts w:hint="eastAsia" w:ascii="仿宋_GB2312" w:hAnsi="仿宋_GB2312" w:eastAsia="仿宋_GB2312" w:cs="仿宋_GB2312"/>
          <w:color w:val="000000"/>
          <w:sz w:val="32"/>
          <w:szCs w:val="32"/>
        </w:rPr>
        <w:t>市福利中心</w:t>
      </w:r>
      <w:r>
        <w:rPr>
          <w:rFonts w:hint="eastAsia" w:ascii="仿宋_GB2312" w:hAnsi="仿宋" w:eastAsia="仿宋_GB2312"/>
          <w:sz w:val="32"/>
          <w:szCs w:val="32"/>
        </w:rPr>
        <w:t>及下属</w:t>
      </w:r>
      <w:r>
        <w:rPr>
          <w:rFonts w:ascii="仿宋_GB2312" w:hAnsi="仿宋" w:eastAsia="仿宋_GB2312"/>
          <w:sz w:val="32"/>
          <w:szCs w:val="32"/>
          <w:highlight w:val="none"/>
        </w:rPr>
        <w:t>16</w:t>
      </w:r>
      <w:r>
        <w:rPr>
          <w:rFonts w:hint="eastAsia" w:ascii="仿宋_GB2312" w:hAnsi="仿宋" w:eastAsia="仿宋_GB2312"/>
          <w:sz w:val="32"/>
          <w:szCs w:val="32"/>
        </w:rPr>
        <w:t>个事业单位（其中：公益一类单位10个，公益二类单位6个，生产经营类单位1个），编制2063人。年末在岗职工1351人，比上年少119人；离休人员7人，退休人员全部纳入社保系统发放退休费。</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ascii="仿宋_GB2312" w:hAnsi="仿宋" w:eastAsia="仿宋_GB2312"/>
          <w:sz w:val="32"/>
          <w:szCs w:val="32"/>
        </w:rPr>
      </w:pPr>
      <w:r>
        <w:rPr>
          <w:rFonts w:hint="eastAsia" w:ascii="仿宋_GB2312" w:hAnsi="仿宋" w:eastAsia="仿宋_GB2312"/>
          <w:sz w:val="32"/>
          <w:szCs w:val="32"/>
        </w:rPr>
        <w:t>2</w:t>
      </w:r>
      <w:r>
        <w:rPr>
          <w:rFonts w:hint="eastAsia" w:ascii="仿宋_GB2312" w:hAnsi="仿宋" w:eastAsia="仿宋_GB2312"/>
          <w:sz w:val="32"/>
          <w:szCs w:val="32"/>
          <w:lang w:eastAsia="zh-CN"/>
        </w:rPr>
        <w:t>.</w:t>
      </w:r>
      <w:r>
        <w:rPr>
          <w:rFonts w:hint="eastAsia" w:ascii="仿宋_GB2312" w:hAnsi="仿宋" w:eastAsia="仿宋_GB2312"/>
          <w:sz w:val="32"/>
          <w:szCs w:val="32"/>
        </w:rPr>
        <w:t>部门职责</w:t>
      </w:r>
      <w:bookmarkEnd w:id="3"/>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outlineLvl w:val="9"/>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000000"/>
          <w:sz w:val="32"/>
          <w:szCs w:val="32"/>
        </w:rPr>
        <w:t>市福利中心于2006年正式成立，主要负责对从市民政局划入的社会福利企业、事业单位的人、财、物等内部事务的管理以及存量资源的整合和增量资源的调整等工作；推动社会福利企、事业单位在管理方式、管理制度、运行机制等方面的改革创新，并监督有关工作的实施；受市民政局委托，承办</w:t>
      </w:r>
      <w:r>
        <w:rPr>
          <w:rFonts w:hint="eastAsia" w:ascii="仿宋_GB2312" w:hAnsi="仿宋_GB2312" w:eastAsia="仿宋_GB2312" w:cs="仿宋_GB2312"/>
          <w:color w:val="auto"/>
          <w:sz w:val="32"/>
          <w:szCs w:val="32"/>
          <w:highlight w:val="none"/>
        </w:rPr>
        <w:t>市政府和市有关部门交办的其他事项。</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3</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2022年度主要工作任务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2022年，市福利中心坚持以习近平新时代中国特色社会主义思想为指导，深入贯彻党的十九大和十九届历次全会及北京市第十三次党代会精神，全面落实委局各项决策部署，坚持稳字当头、稳中求进工作总基调，以“厚植为民情怀、提升职业素养”主题教育为抓手，以工作规范化建设为导向，全力统筹疫情防控和事业发展，围绕“强党建、促改革、兜底线、保稳定、夯基础”，实现各项工作稳中提质、稳中有进、稳中向好。</w:t>
      </w:r>
      <w:r>
        <w:rPr>
          <w:rFonts w:hint="eastAsia" w:ascii="仿宋_GB2312" w:hAnsi="仿宋_GB2312" w:eastAsia="仿宋_GB2312" w:cs="仿宋_GB2312"/>
          <w:color w:val="auto"/>
          <w:sz w:val="32"/>
          <w:szCs w:val="32"/>
          <w:highlight w:val="none"/>
          <w:lang w:val="en-US" w:eastAsia="zh-CN"/>
        </w:rPr>
        <w:t>2022年主要工作任务为：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1. 全面从严治党持续深化</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 重点领域改革稳步推进</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3. 服务保障能力持续提升</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4. 基础管理工作不断夯实</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5. 防疫成果持续巩固</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6. 安全稳定基础更加扎实</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4" w:name="_Toc23671"/>
      <w:r>
        <w:rPr>
          <w:rFonts w:hint="eastAsia" w:ascii="楷体_GB2312" w:eastAsia="楷体_GB2312"/>
          <w:color w:val="auto"/>
          <w:sz w:val="32"/>
          <w:szCs w:val="32"/>
          <w:highlight w:val="none"/>
        </w:rPr>
        <w:t>（二）部门整体绩效目标设立情况</w:t>
      </w:r>
      <w:bookmarkEnd w:id="4"/>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_GB2312" w:eastAsia="仿宋_GB2312" w:cs="仿宋_GB2312"/>
          <w:color w:val="auto"/>
          <w:sz w:val="32"/>
          <w:szCs w:val="32"/>
          <w:highlight w:val="none"/>
        </w:rPr>
        <w:t>以习近平新时代中国特色社会主义思想为指导，以习近平总书记对民政工作的重要指示、重要论述为根本遵循，深入贯彻落实党的十九大和十九届二中、三中、四中、五中、六中全会精神，全面落实市委市政府和委局的决策部署，立足新发展阶段，坚持新发展理念，融入新发展格局，自觉践行“民政为民、民政爱民”理念，坚持以推动事业高质量发展为目标，坚持党建引领，深化改革创新，强化安全稳定，持续抓基层、强基础、固基本，全方位提升为民服务能力。坚持以高质量发展为核心；坚持以强化安全稳定和深化改革创新为两翼；坚持以抓基层、强基础、固基本为支撑；坚持以党的建设、服务优化、管理高效、科技赋能为驱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2022年度市福利中心部门整体绩效指标包括：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1</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保障单位日常运转，严格执行预算；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2</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保障机构内政府供养保障对象生活，提升福利机构服务保障能力，持续做好养老机构服务保障工作；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3</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保障市属殡葬</w:t>
      </w:r>
      <w:r>
        <w:rPr>
          <w:rFonts w:hint="eastAsia" w:ascii="仿宋_GB2312" w:hAnsi="仿宋" w:eastAsia="仿宋_GB2312"/>
          <w:color w:val="auto"/>
          <w:sz w:val="32"/>
          <w:szCs w:val="32"/>
          <w:highlight w:val="none"/>
          <w:lang w:val="en-US" w:eastAsia="zh-CN"/>
        </w:rPr>
        <w:t>单位</w:t>
      </w:r>
      <w:r>
        <w:rPr>
          <w:rFonts w:hint="eastAsia" w:ascii="仿宋_GB2312" w:hAnsi="仿宋" w:eastAsia="仿宋_GB2312"/>
          <w:color w:val="auto"/>
          <w:sz w:val="32"/>
          <w:szCs w:val="32"/>
          <w:highlight w:val="none"/>
        </w:rPr>
        <w:t>清明节工作顺利进行、爱国主义基地正常运转等。针对疫情防控常态化的清明祭扫服务保障工作特点，超前谋划，精心组织，做好清明祭扫服务保障工作。规范殡葬业务流程，提升服务水平；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4</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保障市直属福利企业困难残疾职工困难群体基本生活。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0"/>
        <w:rPr>
          <w:rFonts w:ascii="黑体" w:hAnsi="黑体" w:eastAsia="黑体" w:cs="宋体"/>
          <w:b w:val="0"/>
          <w:bCs/>
          <w:color w:val="auto"/>
          <w:kern w:val="0"/>
          <w:sz w:val="32"/>
          <w:szCs w:val="32"/>
          <w:highlight w:val="none"/>
        </w:rPr>
      </w:pPr>
      <w:bookmarkStart w:id="5" w:name="_Toc23644"/>
      <w:r>
        <w:rPr>
          <w:rFonts w:hint="eastAsia" w:ascii="黑体" w:hAnsi="黑体" w:eastAsia="黑体" w:cs="宋体"/>
          <w:b w:val="0"/>
          <w:bCs/>
          <w:color w:val="auto"/>
          <w:kern w:val="0"/>
          <w:sz w:val="32"/>
          <w:szCs w:val="32"/>
          <w:highlight w:val="none"/>
        </w:rPr>
        <w:t>二、当年预算执行情况</w:t>
      </w:r>
      <w:bookmarkEnd w:id="5"/>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6" w:name="_Toc32143"/>
      <w:r>
        <w:rPr>
          <w:rFonts w:hint="eastAsia" w:ascii="楷体_GB2312" w:eastAsia="楷体_GB2312"/>
          <w:color w:val="auto"/>
          <w:sz w:val="32"/>
          <w:szCs w:val="32"/>
          <w:highlight w:val="none"/>
        </w:rPr>
        <w:t>（一）收入情况</w:t>
      </w:r>
      <w:bookmarkEnd w:id="6"/>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_GB2312" w:eastAsia="仿宋_GB2312" w:cs="仿宋_GB2312"/>
          <w:color w:val="auto"/>
          <w:sz w:val="32"/>
          <w:szCs w:val="32"/>
          <w:highlight w:val="none"/>
        </w:rPr>
        <w:t>市福利中心</w:t>
      </w:r>
      <w:r>
        <w:rPr>
          <w:rFonts w:hint="eastAsia" w:ascii="仿宋_GB2312" w:hAnsi="仿宋" w:eastAsia="仿宋_GB2312"/>
          <w:color w:val="auto"/>
          <w:sz w:val="32"/>
          <w:szCs w:val="32"/>
          <w:highlight w:val="none"/>
        </w:rPr>
        <w:t>2022年总收入169511.24万元，其中：一般公共预算财政拨款收入93667.03万元，占55.26%；政府性基金预算财政拨款收入23.5万元，占0.01%；事业收入12687.79万元，占7.48%；经营收入54719.92万元，占32.28%；附属单位上缴收入3300万元，占1.95%；其他收入5113.01万元，占3.02%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7" w:name="_Toc32257"/>
      <w:r>
        <w:rPr>
          <w:rFonts w:hint="eastAsia" w:ascii="楷体_GB2312" w:eastAsia="楷体_GB2312"/>
          <w:color w:val="auto"/>
          <w:sz w:val="32"/>
          <w:szCs w:val="32"/>
          <w:highlight w:val="none"/>
        </w:rPr>
        <w:t>（二）支出情况</w:t>
      </w:r>
      <w:bookmarkEnd w:id="7"/>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_GB2312" w:eastAsia="仿宋_GB2312" w:cs="仿宋_GB2312"/>
          <w:color w:val="auto"/>
          <w:sz w:val="32"/>
          <w:szCs w:val="32"/>
          <w:highlight w:val="none"/>
        </w:rPr>
        <w:t>市福利中心</w:t>
      </w:r>
      <w:r>
        <w:rPr>
          <w:rFonts w:hint="eastAsia" w:ascii="仿宋_GB2312" w:hAnsi="仿宋" w:eastAsia="仿宋_GB2312"/>
          <w:color w:val="auto"/>
          <w:sz w:val="32"/>
          <w:szCs w:val="32"/>
          <w:highlight w:val="none"/>
        </w:rPr>
        <w:t>2022年总支出156349.94万元，其中：基本支出63680.48万元，项目支出35396.04</w:t>
      </w:r>
      <w:r>
        <w:rPr>
          <w:rFonts w:hint="eastAsia" w:ascii="仿宋_GB2312" w:hAnsi="宋体" w:eastAsia="仿宋_GB2312" w:cs="宋体"/>
          <w:color w:val="auto"/>
          <w:kern w:val="0"/>
          <w:sz w:val="32"/>
          <w:szCs w:val="32"/>
          <w:highlight w:val="none"/>
        </w:rPr>
        <w:t>万元，事业单位经营支出55307.74万元。预算执行率为92.24%。</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0"/>
        <w:rPr>
          <w:rFonts w:ascii="黑体" w:hAnsi="黑体" w:eastAsia="黑体" w:cs="宋体"/>
          <w:b/>
          <w:color w:val="auto"/>
          <w:kern w:val="0"/>
          <w:sz w:val="32"/>
          <w:szCs w:val="32"/>
          <w:highlight w:val="none"/>
        </w:rPr>
      </w:pPr>
      <w:bookmarkStart w:id="8" w:name="_Toc15484"/>
      <w:r>
        <w:rPr>
          <w:rFonts w:hint="eastAsia" w:ascii="黑体" w:hAnsi="黑体" w:eastAsia="黑体" w:cs="宋体"/>
          <w:b w:val="0"/>
          <w:bCs/>
          <w:color w:val="auto"/>
          <w:kern w:val="0"/>
          <w:sz w:val="32"/>
          <w:szCs w:val="32"/>
          <w:highlight w:val="none"/>
        </w:rPr>
        <w:t>三、整体绩效目标实现情况</w:t>
      </w:r>
      <w:bookmarkEnd w:id="8"/>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1. 全面从严治党持续深化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一是主题教育成果显著。将“厚植为民情怀、提升职业素养”主题教育作为一项重要的政治任务抓紧抓实，全力推动主题教育与各项重点工作同向发力、同频共振。二是政治建设不断加强。强化理论武装，持续跟进学习习近平总书记重要讲话和指示批示精神，做到第一时间传达、第一时间研究部署、第一时间贯彻落实。三是党建质效持续提升。不断优化基层党组织设置，针对干部调整等情况，督导所属30余个基层党组织完成换届选举、委员补选，加强对新任支部委员的培训，组织80余名党组织书记、委员集中培训，提高支委议事决策能力和水平。四是干部队伍建设稳步推进。扎实做好处科级干部选任调研，配合委局提任调整处级及以上干部15人次，完成科级干部任前公示31人、宣任38人，民主推荐考察2人。五是党风廉政建设深入推进。定期开展全面从严治党工作考核点评和政治生态分析研判，压紧压实从严管党治党主体责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2. 重点领域改革稳步推进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一是事业单位改革后续工作有序开展。完成11家转企事业单位撤销、8家转制事业单位工商登记。稳妥完成涉改事业单位分流安置人员人事、工资、组织、社保等接转手续。二是殡葬服务单位改革深入推进。殡葬事业单位转企改制工作方案得到委局批复，八宝山礼仪公司所属10家涉改单位资产清查和评估工作取得财政局批复，完成8家分公司工商注册登记。三是</w:t>
      </w:r>
      <w:r>
        <w:rPr>
          <w:rFonts w:hint="eastAsia" w:ascii="仿宋_GB2312" w:hAnsi="仿宋" w:eastAsia="仿宋_GB2312"/>
          <w:color w:val="auto"/>
          <w:sz w:val="32"/>
          <w:szCs w:val="32"/>
          <w:highlight w:val="none"/>
          <w:lang w:val="en-US" w:eastAsia="zh-CN"/>
        </w:rPr>
        <w:t>民政工业</w:t>
      </w:r>
      <w:r>
        <w:rPr>
          <w:rFonts w:hint="eastAsia" w:ascii="仿宋_GB2312" w:hAnsi="仿宋" w:eastAsia="仿宋_GB2312"/>
          <w:color w:val="auto"/>
          <w:sz w:val="32"/>
          <w:szCs w:val="32"/>
          <w:highlight w:val="none"/>
        </w:rPr>
        <w:t>总公司转企改制和整体划转积极推进。推进</w:t>
      </w:r>
      <w:r>
        <w:rPr>
          <w:rFonts w:hint="eastAsia" w:ascii="仿宋_GB2312" w:hAnsi="仿宋" w:eastAsia="仿宋_GB2312"/>
          <w:color w:val="auto"/>
          <w:sz w:val="32"/>
          <w:szCs w:val="32"/>
          <w:highlight w:val="none"/>
          <w:lang w:val="en-US" w:eastAsia="zh-CN"/>
        </w:rPr>
        <w:t>民政工业</w:t>
      </w:r>
      <w:r>
        <w:rPr>
          <w:rFonts w:hint="eastAsia" w:ascii="仿宋_GB2312" w:hAnsi="仿宋" w:eastAsia="仿宋_GB2312"/>
          <w:color w:val="auto"/>
          <w:sz w:val="32"/>
          <w:szCs w:val="32"/>
          <w:highlight w:val="none"/>
        </w:rPr>
        <w:t>总公司本级转企改制，细化完善转企改制实施方案，搭建经营管理体制框架。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3. 服务保障能力持续提升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一是福利机构服务保障水平逐步提高。养老机构“医养结合”特色突出，服务质量专项检查整治行动有效开展，老年人入住市属养老机构评估工作有序推进，收住计生特殊老人17人。二是殡葬单位服务保障能力稳步提升。清明服务期间，市属殡葬单位创新开展“三个全覆盖”“三边三化”“五免费五便民”的殡仪服务方式方法，20处扫墓点共接待现场祭扫群众84.16万人，代为祭扫4299人次，同比增长49.79%，做到了服务质量只升不降、服务收入只增不减，实现了“安全无事故、服务零投诉”的既定目标。三是福利企业和</w:t>
      </w:r>
      <w:r>
        <w:rPr>
          <w:rFonts w:hint="eastAsia" w:ascii="仿宋_GB2312" w:hAnsi="仿宋" w:eastAsia="仿宋_GB2312"/>
          <w:color w:val="auto"/>
          <w:sz w:val="32"/>
          <w:szCs w:val="32"/>
          <w:highlight w:val="none"/>
          <w:lang w:val="en-US" w:eastAsia="zh-CN"/>
        </w:rPr>
        <w:t>康复</w:t>
      </w:r>
      <w:r>
        <w:rPr>
          <w:rFonts w:hint="eastAsia" w:ascii="仿宋_GB2312" w:hAnsi="仿宋" w:eastAsia="仿宋_GB2312"/>
          <w:color w:val="auto"/>
          <w:sz w:val="32"/>
          <w:szCs w:val="32"/>
          <w:highlight w:val="none"/>
        </w:rPr>
        <w:t>辅具</w:t>
      </w:r>
      <w:r>
        <w:rPr>
          <w:rFonts w:hint="eastAsia" w:ascii="仿宋_GB2312" w:hAnsi="仿宋" w:eastAsia="仿宋_GB2312"/>
          <w:color w:val="auto"/>
          <w:sz w:val="32"/>
          <w:szCs w:val="32"/>
          <w:highlight w:val="none"/>
          <w:lang w:val="en-US" w:eastAsia="zh-CN"/>
        </w:rPr>
        <w:t>技术</w:t>
      </w:r>
      <w:r>
        <w:rPr>
          <w:rFonts w:hint="eastAsia" w:ascii="仿宋_GB2312" w:hAnsi="仿宋" w:eastAsia="仿宋_GB2312"/>
          <w:color w:val="auto"/>
          <w:sz w:val="32"/>
          <w:szCs w:val="32"/>
          <w:highlight w:val="none"/>
        </w:rPr>
        <w:t>中心持续创新发展。福利企业以推进新媒体业务、优化产品升级等方式提升品牌建设，截至10月，迷奇生物销售额4028.95万元，同比增长339.63%。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4. 基础管理工作不断夯实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一是依法依规管理不断加强。健全完善“三清单、一流程、一标准”相关工作，梳理汇总制度清单134项，常规任务清单80项，业务领域重点任务清单12项，核心业务工作流程18项。二是基础设施建设规范有序。高效规范办理完成6项应急保障项目和12项抢修工程的申报审批，为消除安全隐患、保障业务开展奠定了基础。三是资金资产管理规范运行。完善采购管理内控制度，将所属事业单位货物及服务类政府采购活动全部纳入</w:t>
      </w:r>
      <w:r>
        <w:rPr>
          <w:rFonts w:hint="eastAsia" w:ascii="仿宋_GB2312" w:hAnsi="仿宋" w:eastAsia="仿宋_GB2312"/>
          <w:color w:val="auto"/>
          <w:sz w:val="32"/>
          <w:szCs w:val="32"/>
          <w:highlight w:val="none"/>
          <w:lang w:val="en-US" w:eastAsia="zh-CN"/>
        </w:rPr>
        <w:t>市福利中心</w:t>
      </w:r>
      <w:r>
        <w:rPr>
          <w:rFonts w:hint="eastAsia" w:ascii="仿宋_GB2312" w:hAnsi="仿宋" w:eastAsia="仿宋_GB2312"/>
          <w:color w:val="auto"/>
          <w:sz w:val="32"/>
          <w:szCs w:val="32"/>
          <w:highlight w:val="none"/>
        </w:rPr>
        <w:t>统筹实施范围，32个项目纳入统筹范围。四是信息化标准化工作持续推进。本着“统一场景、统一标准、统一架构”的原则，完成</w:t>
      </w:r>
      <w:r>
        <w:rPr>
          <w:rFonts w:hint="eastAsia" w:ascii="仿宋_GB2312" w:hAnsi="仿宋" w:eastAsia="仿宋_GB2312"/>
          <w:color w:val="auto"/>
          <w:sz w:val="32"/>
          <w:szCs w:val="32"/>
          <w:highlight w:val="none"/>
          <w:lang w:val="en-US" w:eastAsia="zh-CN"/>
        </w:rPr>
        <w:t>市福利中心</w:t>
      </w:r>
      <w:r>
        <w:rPr>
          <w:rFonts w:hint="eastAsia" w:ascii="仿宋_GB2312" w:hAnsi="仿宋" w:eastAsia="仿宋_GB2312"/>
          <w:color w:val="auto"/>
          <w:sz w:val="32"/>
          <w:szCs w:val="32"/>
          <w:highlight w:val="none"/>
        </w:rPr>
        <w:t>技防监控系统建设标准修订。</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5. 防疫成果持续巩固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一是完善应急响应机制。坚持以防为主打好疫情防控主动仗，</w:t>
      </w:r>
      <w:r>
        <w:rPr>
          <w:rFonts w:hint="eastAsia" w:ascii="仿宋_GB2312" w:hAnsi="仿宋" w:eastAsia="仿宋_GB2312"/>
          <w:color w:val="auto"/>
          <w:sz w:val="32"/>
          <w:szCs w:val="32"/>
          <w:highlight w:val="none"/>
          <w:lang w:val="en-US" w:eastAsia="zh-CN"/>
        </w:rPr>
        <w:t>市福利中心</w:t>
      </w:r>
      <w:r>
        <w:rPr>
          <w:rFonts w:hint="eastAsia" w:ascii="仿宋_GB2312" w:hAnsi="仿宋" w:eastAsia="仿宋_GB2312"/>
          <w:color w:val="auto"/>
          <w:sz w:val="32"/>
          <w:szCs w:val="32"/>
          <w:highlight w:val="none"/>
        </w:rPr>
        <w:t>所有单位细化完善新冠疫情防控应急预案，健全完善快速响应机制，对隔离转运、流调筛查、物资保障、疫情消杀等环节进行流程复盘、桌面推演，不断提高疫情防控实战化水平。二是压紧压实防控责任。紧跟疫情形势和防控要求，从严从紧执行上级相关防控规定，坚持分类施策，有力有序疫情防控工作。三是狠抓重点领域防控。福利机构作为疫情防控的重中之重，严格执行疫情防控指引一级响应，适时启动“全封闭”管理，工作人员克服困难长期坚守岗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6. 安全稳定基础更加扎实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深入贯彻党中央“疫情要防住、经济要稳住、发展要安全”的重要要求，严格落实“党政同责、一岗双责、失职追责”，以定期召开安全形势分析会、组织安全生产督导检查组等形式，压紧压实各级安全主体责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9" w:name="_Toc15816"/>
      <w:r>
        <w:rPr>
          <w:rFonts w:hint="eastAsia" w:ascii="楷体_GB2312" w:eastAsia="楷体_GB2312"/>
          <w:color w:val="auto"/>
          <w:sz w:val="32"/>
          <w:szCs w:val="32"/>
          <w:highlight w:val="none"/>
        </w:rPr>
        <w:t>（一）产出完成情况分析</w:t>
      </w:r>
      <w:bookmarkEnd w:id="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产出数量</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（1）保障单位日常运转，严格执行预算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①推动全面从严治党向纵深发展相关工作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有效开展了财务日常运维、市属公建民营养老机构监管督导并组织开展老人入住评估工作；完成了38家下属单位的年度财务决算报告及年报审计工作，委托第三方协助完成了对</w:t>
      </w:r>
      <w:r>
        <w:rPr>
          <w:rFonts w:hint="eastAsia" w:ascii="仿宋_GB2312" w:hAnsi="仿宋" w:eastAsia="仿宋_GB2312"/>
          <w:color w:val="auto"/>
          <w:sz w:val="32"/>
          <w:szCs w:val="32"/>
          <w:highlight w:val="none"/>
          <w:lang w:val="en-US" w:eastAsia="zh-CN"/>
        </w:rPr>
        <w:t>市福利中心</w:t>
      </w:r>
      <w:r>
        <w:rPr>
          <w:rFonts w:hint="eastAsia" w:ascii="仿宋_GB2312" w:hAnsi="仿宋" w:eastAsia="仿宋_GB2312"/>
          <w:color w:val="auto"/>
          <w:sz w:val="32"/>
          <w:szCs w:val="32"/>
          <w:highlight w:val="none"/>
        </w:rPr>
        <w:t>本级的内控执行情况评价、内部风险评估、内控年报编制、绩效评价和会计档案管理以及八宝山礼仪公司，公司制改制顾问等工作；</w:t>
      </w:r>
      <w:r>
        <w:rPr>
          <w:rFonts w:hint="eastAsia" w:ascii="仿宋_GB2312" w:hAnsi="仿宋" w:eastAsia="仿宋_GB2312"/>
          <w:color w:val="auto"/>
          <w:sz w:val="32"/>
          <w:szCs w:val="32"/>
          <w:highlight w:val="none"/>
          <w:lang w:val="en-US" w:eastAsia="zh-CN"/>
        </w:rPr>
        <w:t>市福利中心</w:t>
      </w:r>
      <w:r>
        <w:rPr>
          <w:rFonts w:hint="eastAsia" w:ascii="仿宋_GB2312" w:hAnsi="仿宋" w:eastAsia="仿宋_GB2312"/>
          <w:color w:val="auto"/>
          <w:sz w:val="32"/>
          <w:szCs w:val="32"/>
          <w:highlight w:val="none"/>
        </w:rPr>
        <w:t>系统管理人员专项业务培训班次10个及科级干部和各类党员学习教育培训2个；组织完成了针对</w:t>
      </w:r>
      <w:r>
        <w:rPr>
          <w:rFonts w:hint="eastAsia" w:ascii="仿宋_GB2312" w:hAnsi="仿宋" w:eastAsia="仿宋_GB2312"/>
          <w:color w:val="auto"/>
          <w:sz w:val="32"/>
          <w:szCs w:val="32"/>
          <w:highlight w:val="none"/>
          <w:lang w:val="en-US" w:eastAsia="zh-CN"/>
        </w:rPr>
        <w:t>市属福利机构、殡葬单位</w:t>
      </w:r>
      <w:r>
        <w:rPr>
          <w:rFonts w:hint="eastAsia" w:ascii="仿宋_GB2312" w:hAnsi="仿宋" w:eastAsia="仿宋_GB2312"/>
          <w:color w:val="auto"/>
          <w:sz w:val="32"/>
          <w:szCs w:val="32"/>
          <w:highlight w:val="none"/>
        </w:rPr>
        <w:t>1300名工作人员线上线下心理解压抚慰工作7次；落实了老干部体检、节日慰问工作；实施了党建相关书籍、资料的购买印制工作及培训的开展；</w:t>
      </w:r>
      <w:r>
        <w:rPr>
          <w:rFonts w:hint="eastAsia" w:ascii="仿宋_GB2312" w:hAnsi="仿宋" w:eastAsia="仿宋_GB2312"/>
          <w:color w:val="auto"/>
          <w:sz w:val="32"/>
          <w:szCs w:val="32"/>
          <w:highlight w:val="none"/>
          <w:lang w:val="en-US" w:eastAsia="zh-CN"/>
        </w:rPr>
        <w:t>市福利中心</w:t>
      </w:r>
      <w:r>
        <w:rPr>
          <w:rFonts w:hint="eastAsia" w:ascii="仿宋_GB2312" w:hAnsi="仿宋" w:eastAsia="仿宋_GB2312"/>
          <w:color w:val="auto"/>
          <w:sz w:val="32"/>
          <w:szCs w:val="32"/>
          <w:highlight w:val="none"/>
        </w:rPr>
        <w:t>审计处共完成财务收支审计16个，内部控制审计17个，其他专项审计24个；完成了3个工程项目的综合测算评估和可行性分析，聘请法律顾问对16家单位指导会前学法，对</w:t>
      </w:r>
      <w:r>
        <w:rPr>
          <w:rFonts w:hint="eastAsia" w:ascii="仿宋_GB2312" w:hAnsi="仿宋" w:eastAsia="仿宋_GB2312"/>
          <w:color w:val="auto"/>
          <w:sz w:val="32"/>
          <w:szCs w:val="32"/>
          <w:highlight w:val="none"/>
          <w:lang w:val="en-US" w:eastAsia="zh-CN"/>
        </w:rPr>
        <w:t>民政工业</w:t>
      </w:r>
      <w:r>
        <w:rPr>
          <w:rFonts w:hint="eastAsia" w:ascii="仿宋_GB2312" w:hAnsi="仿宋" w:eastAsia="仿宋_GB2312"/>
          <w:color w:val="auto"/>
          <w:sz w:val="32"/>
          <w:szCs w:val="32"/>
          <w:highlight w:val="none"/>
        </w:rPr>
        <w:t>总公司及所属企业9家单位31户承租方进行房租减免，</w:t>
      </w:r>
      <w:r>
        <w:rPr>
          <w:rFonts w:hint="eastAsia" w:ascii="仿宋_GB2312" w:hAnsi="仿宋" w:eastAsia="仿宋_GB2312"/>
          <w:color w:val="auto"/>
          <w:sz w:val="32"/>
          <w:szCs w:val="32"/>
          <w:highlight w:val="none"/>
          <w:lang w:val="en-US" w:eastAsia="zh-CN"/>
        </w:rPr>
        <w:t>市福利中心</w:t>
      </w:r>
      <w:r>
        <w:rPr>
          <w:rFonts w:hint="eastAsia" w:ascii="仿宋_GB2312" w:hAnsi="仿宋" w:eastAsia="仿宋_GB2312"/>
          <w:color w:val="auto"/>
          <w:sz w:val="32"/>
          <w:szCs w:val="32"/>
          <w:highlight w:val="none"/>
        </w:rPr>
        <w:t>系统17家单位资产管理专项检查，并聘请事务所协助开展24家政府采购统筹</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资产清查审计和资产评估工作。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 w:eastAsia="仿宋_GB2312"/>
          <w:color w:val="auto"/>
          <w:sz w:val="32"/>
          <w:szCs w:val="32"/>
          <w:highlight w:val="none"/>
        </w:rPr>
        <w:t>②</w:t>
      </w:r>
      <w:r>
        <w:rPr>
          <w:rFonts w:hint="eastAsia" w:ascii="仿宋_GB2312" w:hAnsi="仿宋_GB2312" w:eastAsia="仿宋_GB2312" w:cs="仿宋_GB2312"/>
          <w:color w:val="auto"/>
          <w:sz w:val="32"/>
          <w:szCs w:val="32"/>
          <w:highlight w:val="none"/>
        </w:rPr>
        <w:t>提升福利机构和殡葬单位服务保障能力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 w:eastAsia="仿宋_GB2312"/>
          <w:color w:val="auto"/>
          <w:sz w:val="32"/>
          <w:szCs w:val="32"/>
          <w:highlight w:val="none"/>
        </w:rPr>
        <w:t>市福利中心及</w:t>
      </w:r>
      <w:r>
        <w:rPr>
          <w:rFonts w:hint="eastAsia" w:ascii="仿宋_GB2312" w:hAnsi="仿宋_GB2312" w:eastAsia="仿宋_GB2312" w:cs="仿宋_GB2312"/>
          <w:color w:val="auto"/>
          <w:sz w:val="32"/>
          <w:szCs w:val="32"/>
          <w:highlight w:val="none"/>
        </w:rPr>
        <w:t>下属机构完成</w:t>
      </w:r>
      <w:r>
        <w:rPr>
          <w:rFonts w:ascii="仿宋_GB2312" w:hAnsi="仿宋_GB2312" w:eastAsia="仿宋_GB2312" w:cs="仿宋_GB2312"/>
          <w:color w:val="auto"/>
          <w:sz w:val="32"/>
          <w:szCs w:val="32"/>
          <w:highlight w:val="none"/>
        </w:rPr>
        <w:t>聘用工作人员484人，其中保安工作人员243名，监控值班人员12名，消防中控室人员8名，后勤、护士等劳务派遣人员221名；完成了36家基层单位安全风险评估和隐患排查，3次</w:t>
      </w:r>
      <w:r>
        <w:rPr>
          <w:rFonts w:hint="eastAsia" w:ascii="仿宋_GB2312" w:hAnsi="仿宋" w:eastAsia="仿宋_GB2312"/>
          <w:color w:val="auto"/>
          <w:sz w:val="32"/>
          <w:szCs w:val="32"/>
          <w:highlight w:val="none"/>
          <w:lang w:val="en-US" w:eastAsia="zh-CN"/>
        </w:rPr>
        <w:t>市福利中心</w:t>
      </w:r>
      <w:r>
        <w:rPr>
          <w:rFonts w:ascii="仿宋_GB2312" w:hAnsi="仿宋_GB2312" w:eastAsia="仿宋_GB2312" w:cs="仿宋_GB2312"/>
          <w:color w:val="auto"/>
          <w:sz w:val="32"/>
          <w:szCs w:val="32"/>
          <w:highlight w:val="none"/>
        </w:rPr>
        <w:t>系统安全生产培训及第二</w:t>
      </w:r>
      <w:r>
        <w:rPr>
          <w:rFonts w:hint="eastAsia" w:ascii="仿宋_GB2312" w:hAnsi="仿宋_GB2312" w:eastAsia="仿宋_GB2312" w:cs="仿宋_GB2312"/>
          <w:color w:val="auto"/>
          <w:sz w:val="32"/>
          <w:szCs w:val="32"/>
          <w:highlight w:val="none"/>
          <w:lang w:val="en-US" w:eastAsia="zh-CN"/>
        </w:rPr>
        <w:t>社会</w:t>
      </w:r>
      <w:r>
        <w:rPr>
          <w:rFonts w:ascii="仿宋_GB2312" w:hAnsi="仿宋_GB2312" w:eastAsia="仿宋_GB2312" w:cs="仿宋_GB2312"/>
          <w:color w:val="auto"/>
          <w:sz w:val="32"/>
          <w:szCs w:val="32"/>
          <w:highlight w:val="none"/>
        </w:rPr>
        <w:t>福利院每3年一次的标准化复审和内控手册修订工作；进行了固定资产清查、会计档案电子化管理、档案整理和数字加工服务</w:t>
      </w:r>
      <w:r>
        <w:rPr>
          <w:rFonts w:hint="eastAsia" w:ascii="仿宋_GB2312" w:hAnsi="仿宋_GB2312" w:eastAsia="仿宋_GB2312" w:cs="仿宋_GB2312"/>
          <w:color w:val="auto"/>
          <w:sz w:val="32"/>
          <w:szCs w:val="32"/>
          <w:highlight w:val="none"/>
          <w:lang w:eastAsia="zh-CN"/>
        </w:rPr>
        <w:t>；</w:t>
      </w:r>
      <w:r>
        <w:rPr>
          <w:rFonts w:ascii="仿宋_GB2312" w:hAnsi="仿宋_GB2312" w:eastAsia="仿宋_GB2312" w:cs="仿宋_GB2312"/>
          <w:color w:val="auto"/>
          <w:sz w:val="32"/>
          <w:szCs w:val="32"/>
          <w:highlight w:val="none"/>
        </w:rPr>
        <w:t>组织了岗位技能相关活动</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并对消防设备器材进行年检维护及医疗仪器设备</w:t>
      </w:r>
      <w:r>
        <w:rPr>
          <w:rFonts w:hint="eastAsia" w:ascii="仿宋_GB2312" w:hAnsi="仿宋_GB2312" w:eastAsia="仿宋_GB2312" w:cs="仿宋_GB2312"/>
          <w:color w:val="auto"/>
          <w:sz w:val="32"/>
          <w:szCs w:val="32"/>
          <w:highlight w:val="none"/>
          <w:lang w:eastAsia="zh-CN"/>
        </w:rPr>
        <w:t>、</w:t>
      </w:r>
      <w:r>
        <w:rPr>
          <w:rFonts w:ascii="仿宋_GB2312" w:hAnsi="仿宋_GB2312" w:eastAsia="仿宋_GB2312" w:cs="仿宋_GB2312"/>
          <w:color w:val="auto"/>
          <w:sz w:val="32"/>
          <w:szCs w:val="32"/>
          <w:highlight w:val="none"/>
        </w:rPr>
        <w:t>安全设备设施的日常维护保养</w:t>
      </w:r>
      <w:r>
        <w:rPr>
          <w:rFonts w:hint="eastAsia" w:ascii="仿宋_GB2312" w:hAnsi="仿宋_GB2312" w:eastAsia="仿宋_GB2312" w:cs="仿宋_GB2312"/>
          <w:color w:val="auto"/>
          <w:sz w:val="32"/>
          <w:szCs w:val="32"/>
          <w:highlight w:val="none"/>
          <w:lang w:val="en-US" w:eastAsia="zh-CN"/>
        </w:rPr>
        <w:t>和</w:t>
      </w:r>
      <w:r>
        <w:rPr>
          <w:rFonts w:ascii="仿宋_GB2312" w:hAnsi="仿宋_GB2312" w:eastAsia="仿宋_GB2312" w:cs="仿宋_GB2312"/>
          <w:color w:val="auto"/>
          <w:sz w:val="32"/>
          <w:szCs w:val="32"/>
          <w:highlight w:val="none"/>
        </w:rPr>
        <w:t>维修工作</w:t>
      </w:r>
      <w:r>
        <w:rPr>
          <w:rFonts w:hint="eastAsia" w:ascii="仿宋_GB2312" w:hAnsi="仿宋_GB2312" w:eastAsia="仿宋_GB2312" w:cs="仿宋_GB2312"/>
          <w:color w:val="auto"/>
          <w:sz w:val="32"/>
          <w:szCs w:val="32"/>
          <w:highlight w:val="none"/>
          <w:lang w:eastAsia="zh-CN"/>
        </w:rPr>
        <w:t>；</w:t>
      </w:r>
      <w:r>
        <w:rPr>
          <w:rFonts w:ascii="仿宋_GB2312" w:hAnsi="仿宋_GB2312" w:eastAsia="仿宋_GB2312" w:cs="仿宋_GB2312"/>
          <w:color w:val="auto"/>
          <w:sz w:val="32"/>
          <w:szCs w:val="32"/>
          <w:highlight w:val="none"/>
        </w:rPr>
        <w:t>进行了绿化保洁、食堂管理和供暖等物业管理服务；完成了设备更新购置工作，具体包括：3具不同截肢平面的大腿假肢，5台电磁开水器，12套配备政德讲解器，11人次政德讲解员服装，2套固定资产智能盘点系统；完成发放4名原殡葬处离休人员相关费用，代养67名儿童；SOS儿童村还开展</w:t>
      </w:r>
      <w:r>
        <w:rPr>
          <w:rFonts w:hint="eastAsia" w:ascii="仿宋_GB2312" w:hAnsi="仿宋_GB2312" w:eastAsia="仿宋_GB2312" w:cs="仿宋_GB2312"/>
          <w:color w:val="auto"/>
          <w:sz w:val="32"/>
          <w:szCs w:val="32"/>
          <w:highlight w:val="none"/>
          <w:lang w:val="en-US" w:eastAsia="zh-CN"/>
        </w:rPr>
        <w:t>了</w:t>
      </w:r>
      <w:r>
        <w:rPr>
          <w:rFonts w:ascii="仿宋_GB2312" w:hAnsi="仿宋_GB2312" w:eastAsia="仿宋_GB2312" w:cs="仿宋_GB2312"/>
          <w:color w:val="auto"/>
          <w:sz w:val="32"/>
          <w:szCs w:val="32"/>
          <w:highlight w:val="none"/>
        </w:rPr>
        <w:t>妈妈培训活动并为在村儿童及7名妈妈提供了每年一次的健康检查</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③深入推进市属福利机构社会化改革发展，积极稳妥推进市属殡葬单位改革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市福利中心完成本级及下属各福利机构、殡葬单位信息系统、医疗设备更新工作及工程项目，范围包括：</w:t>
      </w:r>
      <w:r>
        <w:rPr>
          <w:rFonts w:hint="eastAsia" w:ascii="仿宋_GB2312" w:hAnsi="仿宋_GB2312" w:eastAsia="仿宋_GB2312" w:cs="仿宋_GB2312"/>
          <w:color w:val="auto"/>
          <w:sz w:val="32"/>
          <w:szCs w:val="32"/>
          <w:highlight w:val="none"/>
          <w:lang w:val="en-US" w:eastAsia="zh-CN"/>
        </w:rPr>
        <w:t>第二社会福利院</w:t>
      </w:r>
      <w:r>
        <w:rPr>
          <w:rFonts w:hint="eastAsia" w:ascii="仿宋_GB2312" w:hAnsi="仿宋_GB2312" w:eastAsia="仿宋_GB2312" w:cs="仿宋_GB2312"/>
          <w:color w:val="auto"/>
          <w:sz w:val="32"/>
          <w:szCs w:val="32"/>
          <w:highlight w:val="none"/>
        </w:rPr>
        <w:t>配电室更换低压配电柜；第三社会福利院康复中心屋面防水维修；儿童福利院综合业务管理系统共计13台，增加相应的喷淋、烟感报警设施、消防栓</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电梯</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部和食堂冷库设备；社会福利医院CT室防辐射装修改造；八宝山殡仪馆3D建模系统软件1套，对西配楼业务室墙、地、顶拆除新装，电器线路更新，主仪式楼中央空调风机盘管及水路管道更新，箱变设备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套；东郊殡仪馆</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台火化炉大修，2台箱变维护，500平方米水泥路面的修缮</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社会福利医院更新购置完成了呼吸机、口腔显微镜等设备51台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市福利中心</w:t>
      </w:r>
      <w:r>
        <w:rPr>
          <w:rFonts w:hint="eastAsia" w:ascii="仿宋_GB2312" w:hAnsi="仿宋_GB2312" w:eastAsia="仿宋_GB2312" w:cs="仿宋_GB2312"/>
          <w:color w:val="auto"/>
          <w:sz w:val="32"/>
          <w:szCs w:val="32"/>
          <w:highlight w:val="none"/>
          <w:lang w:val="en-US" w:eastAsia="zh-CN"/>
        </w:rPr>
        <w:t>还</w:t>
      </w:r>
      <w:r>
        <w:rPr>
          <w:rFonts w:hint="eastAsia" w:ascii="仿宋_GB2312" w:hAnsi="仿宋_GB2312" w:eastAsia="仿宋_GB2312" w:cs="仿宋_GB2312"/>
          <w:color w:val="auto"/>
          <w:sz w:val="32"/>
          <w:szCs w:val="32"/>
          <w:highlight w:val="none"/>
        </w:rPr>
        <w:t>完成购买就诊所需的药品及医用耗材，电动客车、殡仪专用作业车共4辆。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④保障网络信息化规范运行，单位日常正常运营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市福利中心共完成11家宽带租赁工作</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223台计算机及109台外设硬件驻场运维服务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网络系统、特教儿童综合教学系统、安防监控系统、广宣系统及办公教学设备维修维护以及医疗信息系统：HIS系统、LIS系统、EMR系统的运维工作</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杀毒软件193项。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⑤提升殡葬单位服务保障能力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市福利中心下属殡葬</w:t>
      </w:r>
      <w:r>
        <w:rPr>
          <w:rFonts w:hint="eastAsia" w:ascii="仿宋_GB2312" w:hAnsi="仿宋_GB2312" w:eastAsia="仿宋_GB2312" w:cs="仿宋_GB2312"/>
          <w:color w:val="auto"/>
          <w:sz w:val="32"/>
          <w:szCs w:val="32"/>
          <w:highlight w:val="none"/>
        </w:rPr>
        <w:t>单位</w:t>
      </w:r>
      <w:r>
        <w:rPr>
          <w:rFonts w:ascii="仿宋_GB2312" w:hAnsi="仿宋_GB2312" w:eastAsia="仿宋_GB2312" w:cs="仿宋_GB2312"/>
          <w:color w:val="auto"/>
          <w:sz w:val="32"/>
          <w:szCs w:val="32"/>
          <w:highlight w:val="none"/>
        </w:rPr>
        <w:t>按照国家法律法规，实施完成所属墓园的管理监督工作，具体包括：八宝山革命公墓、八宝山殡仪馆、东郊殡仪馆、万安公墓、殡葬服务中心；2022年累计完成了骨灰堂室寄存业务531 份，骨灰上墙业务239份、骨灰上墙合葬业务870份，传统墓安葬业务84</w:t>
      </w:r>
      <w:r>
        <w:rPr>
          <w:rFonts w:hint="eastAsia" w:ascii="仿宋_GB2312" w:hAnsi="仿宋_GB2312" w:eastAsia="仿宋_GB2312" w:cs="仿宋_GB2312"/>
          <w:color w:val="auto"/>
          <w:sz w:val="32"/>
          <w:szCs w:val="32"/>
          <w:highlight w:val="none"/>
          <w:lang w:val="en-US" w:eastAsia="zh-CN"/>
        </w:rPr>
        <w:t>份</w:t>
      </w:r>
      <w:r>
        <w:rPr>
          <w:rFonts w:ascii="仿宋_GB2312" w:hAnsi="仿宋_GB2312" w:eastAsia="仿宋_GB2312" w:cs="仿宋_GB2312"/>
          <w:color w:val="auto"/>
          <w:sz w:val="32"/>
          <w:szCs w:val="32"/>
          <w:highlight w:val="none"/>
        </w:rPr>
        <w:t>，生态墓安葬业务54份，古树复壮修护154株，古树不合格土壤的改土换土和本体修护22株，古树根部土壤改良面积887.55平方米，人行步道硬化地面拆除与恢复591.71平方米；对房屋、设备、院内环境进行维修维护，按需支付商品、服务等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⑥继续完善疫情防控策略和应对举措，建立健全常态化防控机制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市福利中心下属的</w:t>
      </w:r>
      <w:r>
        <w:rPr>
          <w:rFonts w:hint="eastAsia" w:ascii="仿宋_GB2312" w:hAnsi="仿宋_GB2312" w:eastAsia="仿宋_GB2312" w:cs="仿宋_GB2312"/>
          <w:color w:val="auto"/>
          <w:sz w:val="32"/>
          <w:szCs w:val="32"/>
          <w:highlight w:val="none"/>
        </w:rPr>
        <w:t>10</w:t>
      </w:r>
      <w:r>
        <w:rPr>
          <w:rFonts w:ascii="仿宋_GB2312" w:hAnsi="仿宋_GB2312" w:eastAsia="仿宋_GB2312" w:cs="仿宋_GB2312"/>
          <w:color w:val="auto"/>
          <w:sz w:val="32"/>
          <w:szCs w:val="32"/>
          <w:highlight w:val="none"/>
        </w:rPr>
        <w:t>家社会福利</w:t>
      </w:r>
      <w:r>
        <w:rPr>
          <w:rFonts w:hint="eastAsia" w:ascii="仿宋_GB2312" w:hAnsi="仿宋_GB2312" w:eastAsia="仿宋_GB2312" w:cs="仿宋_GB2312"/>
          <w:color w:val="auto"/>
          <w:sz w:val="32"/>
          <w:szCs w:val="32"/>
          <w:highlight w:val="none"/>
        </w:rPr>
        <w:t>机构和殡葬单位</w:t>
      </w:r>
      <w:r>
        <w:rPr>
          <w:rFonts w:ascii="仿宋_GB2312" w:hAnsi="仿宋_GB2312" w:eastAsia="仿宋_GB2312" w:cs="仿宋_GB2312"/>
          <w:color w:val="auto"/>
          <w:sz w:val="32"/>
          <w:szCs w:val="32"/>
          <w:highlight w:val="none"/>
        </w:rPr>
        <w:t>，具体包括：</w:t>
      </w:r>
      <w:r>
        <w:rPr>
          <w:rFonts w:hint="eastAsia" w:ascii="仿宋_GB2312" w:hAnsi="仿宋_GB2312" w:eastAsia="仿宋_GB2312" w:cs="仿宋_GB2312"/>
          <w:color w:val="auto"/>
          <w:sz w:val="32"/>
          <w:szCs w:val="32"/>
          <w:highlight w:val="none"/>
        </w:rPr>
        <w:t>4</w:t>
      </w:r>
      <w:r>
        <w:rPr>
          <w:rFonts w:ascii="仿宋_GB2312" w:hAnsi="仿宋_GB2312" w:eastAsia="仿宋_GB2312" w:cs="仿宋_GB2312"/>
          <w:color w:val="auto"/>
          <w:sz w:val="32"/>
          <w:szCs w:val="32"/>
          <w:highlight w:val="none"/>
        </w:rPr>
        <w:t>家社会福利院、儿童福利院、第二儿童福利院、SOS儿童村</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社会</w:t>
      </w:r>
      <w:r>
        <w:rPr>
          <w:rFonts w:ascii="仿宋_GB2312" w:hAnsi="仿宋_GB2312" w:eastAsia="仿宋_GB2312" w:cs="仿宋_GB2312"/>
          <w:color w:val="auto"/>
          <w:sz w:val="32"/>
          <w:szCs w:val="32"/>
          <w:highlight w:val="none"/>
        </w:rPr>
        <w:t>福利医院</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养老护理照料示范中心</w:t>
      </w:r>
      <w:r>
        <w:rPr>
          <w:rFonts w:hint="eastAsia" w:ascii="仿宋_GB2312" w:hAnsi="仿宋_GB2312" w:eastAsia="仿宋_GB2312" w:cs="仿宋_GB2312"/>
          <w:color w:val="auto"/>
          <w:sz w:val="32"/>
          <w:szCs w:val="32"/>
          <w:highlight w:val="none"/>
        </w:rPr>
        <w:t>及东郊殡仪馆，共</w:t>
      </w:r>
      <w:r>
        <w:rPr>
          <w:rFonts w:ascii="仿宋_GB2312" w:hAnsi="仿宋_GB2312" w:eastAsia="仿宋_GB2312" w:cs="仿宋_GB2312"/>
          <w:color w:val="auto"/>
          <w:sz w:val="32"/>
          <w:szCs w:val="32"/>
          <w:highlight w:val="none"/>
        </w:rPr>
        <w:t>完成疫情防控期院内职工及照料人员核酸检测及防疫物资购置、药剂等物资采购，500多名儿童接种疫苗，工作人员体检工作；院内被照料人员的专业洗衣外包及垃圾清运工作；购置消毒机、脉冲紫外线消毒器、全自动核酸提取仪等防疫设备及10套车载净化器；完成对楼内重点部位进行卫生消杀，厨房操作间烟道清洗、油烟净化器积油清理及污水站清掏工作</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_GB2312" w:eastAsia="仿宋_GB2312" w:cs="仿宋_GB2312"/>
          <w:color w:val="auto"/>
          <w:sz w:val="32"/>
          <w:szCs w:val="32"/>
          <w:highlight w:val="none"/>
        </w:rPr>
        <w:t>（2）保障机</w:t>
      </w:r>
      <w:r>
        <w:rPr>
          <w:rFonts w:hint="eastAsia" w:ascii="仿宋_GB2312" w:hAnsi="仿宋" w:eastAsia="仿宋_GB2312"/>
          <w:color w:val="auto"/>
          <w:sz w:val="32"/>
          <w:szCs w:val="32"/>
          <w:highlight w:val="none"/>
        </w:rPr>
        <w:t>构内政府供养保障对象生活，提升福利机构服务保障能力，持续做好养老机构服务保障工作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市福利中心下属福利机构，具体包括：第一社会福利院、第二社会福利院、第三社会福利院、儿童福利院、第二儿童福利院及SOS儿童村，实施完成了对1319名政府供养保障对象进行生活照料、体检、基础医疗等工作，其中</w:t>
      </w:r>
      <w:r>
        <w:rPr>
          <w:rFonts w:hint="eastAsia" w:ascii="仿宋_GB2312" w:hAnsi="仿宋" w:eastAsia="仿宋_GB2312"/>
          <w:color w:val="auto"/>
          <w:sz w:val="32"/>
          <w:szCs w:val="32"/>
          <w:highlight w:val="none"/>
          <w:lang w:val="en-US" w:eastAsia="zh-CN"/>
        </w:rPr>
        <w:t>包含</w:t>
      </w:r>
      <w:r>
        <w:rPr>
          <w:rFonts w:hint="eastAsia" w:ascii="仿宋_GB2312" w:hAnsi="仿宋" w:eastAsia="仿宋_GB2312"/>
          <w:color w:val="auto"/>
          <w:sz w:val="32"/>
          <w:szCs w:val="32"/>
          <w:highlight w:val="none"/>
        </w:rPr>
        <w:t>老人64位，儿童1061位，精神残疾人员194位；聘请劳务派遣公司派遣324名专业照料人员补充下属各福利院照料看护人员；代养儿童约67人，对能够接受教育的儿童提供教育服务；SOS儿童村租赁校车2辆、聘用2名妈妈、按课时对儿童进行了艺术培训并组织了读书月活动；还组织完成了春节节庆、清明节哀思纪念、中秋节节庆等节日庆祝活动，兴趣小组活动和社会实践活动以及政府供养保障对象的体检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（3）保障市属殡葬</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rPr>
        <w:t>清明节工作顺利进行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爱国主义基地正常运转等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市福利中心及下属各殡葬单位，按照国家法律法规，实施完成所属墓园的管理监督工作，具体包括：</w:t>
      </w:r>
      <w:r>
        <w:rPr>
          <w:rFonts w:hint="eastAsia" w:ascii="仿宋_GB2312" w:hAnsi="仿宋_GB2312" w:eastAsia="仿宋_GB2312" w:cs="仿宋_GB2312"/>
          <w:color w:val="auto"/>
          <w:sz w:val="32"/>
          <w:szCs w:val="32"/>
          <w:highlight w:val="none"/>
          <w:lang w:val="en-US" w:eastAsia="zh-CN"/>
        </w:rPr>
        <w:t>市福利中心本级、</w:t>
      </w:r>
      <w:r>
        <w:rPr>
          <w:rFonts w:hint="eastAsia" w:ascii="仿宋_GB2312" w:hAnsi="仿宋_GB2312" w:eastAsia="仿宋_GB2312" w:cs="仿宋_GB2312"/>
          <w:color w:val="auto"/>
          <w:sz w:val="32"/>
          <w:szCs w:val="32"/>
          <w:highlight w:val="none"/>
        </w:rPr>
        <w:t>八宝山革命公墓、万安公墓、殡葬服务中心；完成清明期间（3月19日至4月10日）祭扫服务保障工作；实施了29800平方米的绿化保洁养护，维修维护了7辆电瓶车；对475平方米，展厅及接待室3间的监控、水电、消防等设备进行了维修保养和保洁绿化工作，并印</w:t>
      </w:r>
      <w:r>
        <w:rPr>
          <w:rFonts w:hint="eastAsia" w:ascii="仿宋_GB2312" w:hAnsi="仿宋_GB2312" w:eastAsia="仿宋_GB2312" w:cs="仿宋_GB2312"/>
          <w:color w:val="auto"/>
          <w:sz w:val="32"/>
          <w:szCs w:val="32"/>
          <w:highlight w:val="none"/>
          <w:lang w:val="en-US" w:eastAsia="zh-CN"/>
        </w:rPr>
        <w:t>发</w:t>
      </w:r>
      <w:r>
        <w:rPr>
          <w:rFonts w:hint="eastAsia" w:ascii="仿宋_GB2312" w:hAnsi="仿宋_GB2312" w:eastAsia="仿宋_GB2312" w:cs="仿宋_GB2312"/>
          <w:color w:val="auto"/>
          <w:sz w:val="32"/>
          <w:szCs w:val="32"/>
          <w:highlight w:val="none"/>
        </w:rPr>
        <w:t>制作了宣传资料和宣传片；完成了对地宫影背墙</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记忆性修复，包括：字体修复1460个，贴金箔1460个，磨碑8面，除垢</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处；完成对园区绿化、古树养护、纪念标志物维护方面80座基地的维护</w:t>
      </w:r>
      <w:r>
        <w:rPr>
          <w:rFonts w:hint="eastAsia" w:ascii="仿宋_GB2312" w:hAnsi="仿宋_GB2312" w:eastAsia="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rPr>
        <w:t>50套烈士墓碑的修缮。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保障市直属福利企业困难残疾职工困难群体基本生活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市福利中心</w:t>
      </w:r>
      <w:r>
        <w:rPr>
          <w:rFonts w:ascii="仿宋_GB2312" w:hAnsi="仿宋_GB2312" w:eastAsia="仿宋_GB2312" w:cs="仿宋_GB2312"/>
          <w:color w:val="auto"/>
          <w:sz w:val="32"/>
          <w:szCs w:val="32"/>
          <w:highlight w:val="none"/>
        </w:rPr>
        <w:t>完成对</w:t>
      </w:r>
      <w:r>
        <w:rPr>
          <w:rFonts w:hint="eastAsia" w:ascii="仿宋_GB2312" w:hAnsi="仿宋_GB2312" w:eastAsia="仿宋_GB2312" w:cs="仿宋_GB2312"/>
          <w:color w:val="auto"/>
          <w:sz w:val="32"/>
          <w:szCs w:val="32"/>
          <w:highlight w:val="none"/>
        </w:rPr>
        <w:t>民政工业</w:t>
      </w:r>
      <w:r>
        <w:rPr>
          <w:rFonts w:ascii="仿宋_GB2312" w:hAnsi="仿宋_GB2312" w:eastAsia="仿宋_GB2312" w:cs="仿宋_GB2312"/>
          <w:color w:val="auto"/>
          <w:sz w:val="32"/>
          <w:szCs w:val="32"/>
          <w:highlight w:val="none"/>
        </w:rPr>
        <w:t>总公司所属7家完全停产企业、半停产企业及特别困难企业在职职工282名，离退休职工3821名的困难群体生活补助费发放工作</w:t>
      </w:r>
      <w:r>
        <w:rPr>
          <w:rFonts w:hint="eastAsia" w:ascii="仿宋_GB2312" w:hAnsi="仿宋_GB2312" w:eastAsia="仿宋_GB2312" w:cs="仿宋_GB2312"/>
          <w:color w:val="auto"/>
          <w:sz w:val="32"/>
          <w:szCs w:val="32"/>
          <w:highlight w:val="none"/>
          <w:lang w:val="en-US" w:eastAsia="zh-CN"/>
        </w:rPr>
        <w:t>和</w:t>
      </w:r>
      <w:r>
        <w:rPr>
          <w:rFonts w:ascii="仿宋_GB2312" w:hAnsi="仿宋_GB2312" w:eastAsia="仿宋_GB2312" w:cs="仿宋_GB2312"/>
          <w:color w:val="auto"/>
          <w:sz w:val="32"/>
          <w:szCs w:val="32"/>
          <w:highlight w:val="none"/>
        </w:rPr>
        <w:t>困难企业补贴的资金发放工作；完成了对</w:t>
      </w:r>
      <w:r>
        <w:rPr>
          <w:rFonts w:hint="eastAsia" w:ascii="仿宋_GB2312" w:hAnsi="仿宋_GB2312" w:eastAsia="仿宋_GB2312" w:cs="仿宋_GB2312"/>
          <w:color w:val="auto"/>
          <w:sz w:val="32"/>
          <w:szCs w:val="32"/>
          <w:highlight w:val="none"/>
          <w:lang w:val="en-US" w:eastAsia="zh-CN"/>
        </w:rPr>
        <w:t>民政工业</w:t>
      </w:r>
      <w:r>
        <w:rPr>
          <w:rFonts w:ascii="仿宋_GB2312" w:hAnsi="仿宋_GB2312" w:eastAsia="仿宋_GB2312" w:cs="仿宋_GB2312"/>
          <w:color w:val="auto"/>
          <w:sz w:val="32"/>
          <w:szCs w:val="32"/>
          <w:highlight w:val="none"/>
        </w:rPr>
        <w:t>总公司所属困难企业下岗残疾职工基本生活补助工作，其中：盲人55人，其他残疾人361人。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产出质量</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（1）保障单位日常运转，严格执行预算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①推动全面从严治党向纵深发展相关工作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该项工作涵盖</w:t>
      </w:r>
      <w:r>
        <w:rPr>
          <w:rFonts w:hint="eastAsia" w:ascii="仿宋_GB2312" w:hAnsi="仿宋" w:eastAsia="仿宋_GB2312"/>
          <w:color w:val="auto"/>
          <w:sz w:val="32"/>
          <w:szCs w:val="32"/>
          <w:highlight w:val="none"/>
          <w:lang w:val="en-US" w:eastAsia="zh-CN"/>
        </w:rPr>
        <w:t>16</w:t>
      </w:r>
      <w:r>
        <w:rPr>
          <w:rFonts w:hint="eastAsia" w:ascii="仿宋_GB2312" w:hAnsi="仿宋" w:eastAsia="仿宋_GB2312"/>
          <w:color w:val="auto"/>
          <w:sz w:val="32"/>
          <w:szCs w:val="32"/>
          <w:highlight w:val="none"/>
        </w:rPr>
        <w:t>个预算项目，分别由市福利中心的组织处、人事处、办公室、计财处、审计处、老干部处牵头负责，项目实施中严格执行与项目实施内容相关的各项国家行业标准及法规，如：老干部相关工作执行《北京市老干部工作领导责任制》；年报审计、内控评估修订、资产评估等工作严格执行《中国注册会计师审计准则》</w:t>
      </w:r>
      <w:r>
        <w:rPr>
          <w:rFonts w:hint="eastAsia" w:ascii="仿宋_GB2312" w:hAnsi="仿宋"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市福利中心</w:t>
      </w:r>
      <w:r>
        <w:rPr>
          <w:rFonts w:hint="eastAsia" w:ascii="仿宋_GB2312" w:hAnsi="仿宋" w:eastAsia="仿宋_GB2312"/>
          <w:color w:val="auto"/>
          <w:sz w:val="32"/>
          <w:szCs w:val="32"/>
          <w:highlight w:val="none"/>
        </w:rPr>
        <w:t>系统统筹政府采购招标工作严格按照《市福利中心系统统筹管理政府采购项目实施意见(试行)》文件要求；基层单位安全风险评估和隐患排查工作及固定资产清查工作符合民政部门及财政资产管理规范。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 w:eastAsia="仿宋_GB2312"/>
          <w:color w:val="auto"/>
          <w:sz w:val="32"/>
          <w:szCs w:val="32"/>
          <w:highlight w:val="none"/>
        </w:rPr>
        <w:t>②</w:t>
      </w:r>
      <w:r>
        <w:rPr>
          <w:rFonts w:hint="eastAsia" w:ascii="仿宋_GB2312" w:hAnsi="仿宋_GB2312" w:eastAsia="仿宋_GB2312" w:cs="仿宋_GB2312"/>
          <w:color w:val="auto"/>
          <w:sz w:val="32"/>
          <w:szCs w:val="32"/>
          <w:highlight w:val="none"/>
        </w:rPr>
        <w:t>提升福利机构和殡葬单位服务保障能力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该项工作覆盖19个预算项目，为市福利中心下属预算单位的机构运行保障类项目，项目实施中严格执行与项目实施内容相关的各项国家行业标准及法规，如：聘用安保人员均为专业安保公司备案人员，持证上岗；医用设备更新项目购置硬件设备符合国家生产标准，满足各院基本医疗业务需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③深入推进市属福利机构社会化改革发展，积极稳妥推进市属殡葬单位改革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该项工作涵盖</w:t>
      </w: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val="en-US" w:eastAsia="zh-CN"/>
        </w:rPr>
        <w:t>2</w:t>
      </w:r>
      <w:r>
        <w:rPr>
          <w:rFonts w:ascii="仿宋_GB2312" w:hAnsi="仿宋_GB2312" w:eastAsia="仿宋_GB2312" w:cs="仿宋_GB2312"/>
          <w:color w:val="auto"/>
          <w:sz w:val="32"/>
          <w:szCs w:val="32"/>
          <w:highlight w:val="none"/>
        </w:rPr>
        <w:t>个预算项目</w:t>
      </w:r>
      <w:r>
        <w:rPr>
          <w:rFonts w:hint="eastAsia" w:ascii="仿宋_GB2312" w:hAnsi="仿宋_GB2312" w:eastAsia="仿宋_GB2312" w:cs="仿宋_GB2312"/>
          <w:color w:val="auto"/>
          <w:sz w:val="32"/>
          <w:szCs w:val="32"/>
          <w:highlight w:val="none"/>
        </w:rPr>
        <w:t>，项目实施中严格执行与项目实施内容相关的各项国家行业标准及法规，如：根据院</w:t>
      </w:r>
      <w:r>
        <w:rPr>
          <w:rFonts w:hint="eastAsia" w:ascii="仿宋_GB2312" w:hAnsi="仿宋_GB2312" w:eastAsia="仿宋_GB2312" w:cs="仿宋_GB2312"/>
          <w:color w:val="auto"/>
          <w:sz w:val="32"/>
          <w:szCs w:val="32"/>
          <w:highlight w:val="none"/>
          <w:lang w:val="en-US" w:eastAsia="zh-CN"/>
        </w:rPr>
        <w:t>内</w:t>
      </w:r>
      <w:r>
        <w:rPr>
          <w:rFonts w:hint="eastAsia" w:ascii="仿宋_GB2312" w:hAnsi="仿宋_GB2312" w:eastAsia="仿宋_GB2312" w:cs="仿宋_GB2312"/>
          <w:color w:val="auto"/>
          <w:sz w:val="32"/>
          <w:szCs w:val="32"/>
          <w:highlight w:val="none"/>
        </w:rPr>
        <w:t>要求进行防控，确保疫情防控期间封闭管理，</w:t>
      </w:r>
      <w:r>
        <w:rPr>
          <w:rFonts w:hint="eastAsia" w:ascii="仿宋_GB2312" w:hAnsi="仿宋_GB2312" w:eastAsia="仿宋_GB2312" w:cs="仿宋_GB2312"/>
          <w:color w:val="auto"/>
          <w:sz w:val="32"/>
          <w:szCs w:val="32"/>
          <w:highlight w:val="none"/>
          <w:lang w:val="en-US" w:eastAsia="zh-CN"/>
        </w:rPr>
        <w:t>按需</w:t>
      </w:r>
      <w:r>
        <w:rPr>
          <w:rFonts w:hint="eastAsia" w:ascii="仿宋_GB2312" w:hAnsi="仿宋_GB2312" w:eastAsia="仿宋_GB2312" w:cs="仿宋_GB2312"/>
          <w:color w:val="auto"/>
          <w:sz w:val="32"/>
          <w:szCs w:val="32"/>
          <w:highlight w:val="none"/>
        </w:rPr>
        <w:t>采购</w:t>
      </w:r>
      <w:r>
        <w:rPr>
          <w:rFonts w:hint="eastAsia" w:ascii="仿宋_GB2312" w:hAnsi="仿宋_GB2312" w:eastAsia="仿宋_GB2312" w:cs="仿宋_GB2312"/>
          <w:color w:val="auto"/>
          <w:sz w:val="32"/>
          <w:szCs w:val="32"/>
          <w:highlight w:val="none"/>
          <w:lang w:val="en-US" w:eastAsia="zh-CN"/>
        </w:rPr>
        <w:t>供应</w:t>
      </w:r>
      <w:r>
        <w:rPr>
          <w:rFonts w:hint="eastAsia" w:ascii="仿宋_GB2312" w:hAnsi="仿宋_GB2312" w:eastAsia="仿宋_GB2312" w:cs="仿宋_GB2312"/>
          <w:color w:val="auto"/>
          <w:sz w:val="32"/>
          <w:szCs w:val="32"/>
          <w:highlight w:val="none"/>
        </w:rPr>
        <w:t>消毒和医疗用品；改造工作符合北京市住建委建筑施工改造验收相关标准。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④保障网络信息化规范运行，单位日常正常运营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该项工作涵盖11个预算项目</w:t>
      </w:r>
      <w:r>
        <w:rPr>
          <w:rFonts w:hint="eastAsia" w:ascii="仿宋_GB2312" w:hAnsi="仿宋_GB2312" w:eastAsia="仿宋_GB2312" w:cs="仿宋_GB2312"/>
          <w:color w:val="auto"/>
          <w:sz w:val="32"/>
          <w:szCs w:val="32"/>
          <w:highlight w:val="none"/>
        </w:rPr>
        <w:t>，信息化及驻场运维项目涵盖全部系统维护、故障排除，驻场人员应24小时在岗</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电子政务外网安全接入保障工作符合经信局相关标准。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⑤提升殡葬单位服务保障能力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该项工作涵盖</w:t>
      </w:r>
      <w:r>
        <w:rPr>
          <w:rFonts w:hint="eastAsia" w:ascii="仿宋_GB2312" w:hAnsi="仿宋_GB2312" w:eastAsia="仿宋_GB2312" w:cs="仿宋_GB2312"/>
          <w:color w:val="auto"/>
          <w:sz w:val="32"/>
          <w:szCs w:val="32"/>
          <w:highlight w:val="none"/>
          <w:lang w:val="en-US" w:eastAsia="zh-CN"/>
        </w:rPr>
        <w:t>6</w:t>
      </w:r>
      <w:r>
        <w:rPr>
          <w:rFonts w:ascii="仿宋_GB2312" w:hAnsi="仿宋_GB2312" w:eastAsia="仿宋_GB2312" w:cs="仿宋_GB2312"/>
          <w:color w:val="auto"/>
          <w:sz w:val="32"/>
          <w:szCs w:val="32"/>
          <w:highlight w:val="none"/>
        </w:rPr>
        <w:t>个预算项目</w:t>
      </w:r>
      <w:r>
        <w:rPr>
          <w:rFonts w:hint="eastAsia" w:ascii="仿宋_GB2312" w:hAnsi="仿宋_GB2312" w:eastAsia="仿宋_GB2312" w:cs="仿宋_GB2312"/>
          <w:color w:val="auto"/>
          <w:sz w:val="32"/>
          <w:szCs w:val="32"/>
          <w:highlight w:val="none"/>
        </w:rPr>
        <w:t>，分别由市福利中心及下属殡葬单位负责实施，保障日常工作正常开展，维持机构正常运转。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⑥继续完善疫情防控策略和应对举措，建立健全常态化防控机制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t>该项工作涵盖1</w:t>
      </w:r>
      <w:r>
        <w:rPr>
          <w:rFonts w:hint="eastAsia" w:ascii="仿宋_GB2312" w:hAnsi="仿宋_GB2312" w:eastAsia="仿宋_GB2312" w:cs="仿宋_GB2312"/>
          <w:color w:val="auto"/>
          <w:sz w:val="32"/>
          <w:szCs w:val="32"/>
          <w:highlight w:val="none"/>
        </w:rPr>
        <w:t>0</w:t>
      </w:r>
      <w:r>
        <w:rPr>
          <w:rFonts w:ascii="仿宋_GB2312" w:hAnsi="仿宋_GB2312" w:eastAsia="仿宋_GB2312" w:cs="仿宋_GB2312"/>
          <w:color w:val="auto"/>
          <w:sz w:val="32"/>
          <w:szCs w:val="32"/>
          <w:highlight w:val="none"/>
        </w:rPr>
        <w:t>个预算项目</w:t>
      </w:r>
      <w:r>
        <w:rPr>
          <w:rFonts w:hint="eastAsia" w:ascii="仿宋_GB2312" w:hAnsi="仿宋_GB2312" w:eastAsia="仿宋_GB2312" w:cs="仿宋_GB2312"/>
          <w:color w:val="auto"/>
          <w:sz w:val="32"/>
          <w:szCs w:val="32"/>
          <w:highlight w:val="none"/>
        </w:rPr>
        <w:t>，由市福利中心下属的10家社会福利机构和殡葬单位负责实施，项目实施中严格执行与项目实施内容相关的各项国家行业标准及法规，如防疫物品达到卫生局二级医院的卫生检查要求；洗衣服务外包应同时符合WS/T508-2016《医院医用织物洗涤消毒技术规范》及DB11/662-2009《医院布草洗涤卫生规范》要求。</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2）保障机</w:t>
      </w:r>
      <w:r>
        <w:rPr>
          <w:rFonts w:hint="eastAsia" w:ascii="仿宋_GB2312" w:hAnsi="仿宋" w:eastAsia="仿宋_GB2312"/>
          <w:color w:val="auto"/>
          <w:sz w:val="32"/>
          <w:szCs w:val="32"/>
          <w:highlight w:val="none"/>
        </w:rPr>
        <w:t>构内政府供养保障对象生活，提升福利机构服务保障能力，持续做好养老机构服务保障工作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ascii="仿宋_GB2312" w:hAnsi="仿宋" w:eastAsia="仿宋_GB2312"/>
          <w:color w:val="auto"/>
          <w:sz w:val="32"/>
          <w:szCs w:val="32"/>
          <w:highlight w:val="none"/>
        </w:rPr>
        <w:t>该项工作涵盖1</w:t>
      </w:r>
      <w:r>
        <w:rPr>
          <w:rFonts w:hint="eastAsia" w:ascii="仿宋_GB2312" w:hAnsi="仿宋" w:eastAsia="仿宋_GB2312"/>
          <w:color w:val="auto"/>
          <w:sz w:val="32"/>
          <w:szCs w:val="32"/>
          <w:highlight w:val="none"/>
          <w:lang w:val="en-US" w:eastAsia="zh-CN"/>
        </w:rPr>
        <w:t>8</w:t>
      </w:r>
      <w:r>
        <w:rPr>
          <w:rFonts w:ascii="仿宋_GB2312" w:hAnsi="仿宋" w:eastAsia="仿宋_GB2312"/>
          <w:color w:val="auto"/>
          <w:sz w:val="32"/>
          <w:szCs w:val="32"/>
          <w:highlight w:val="none"/>
        </w:rPr>
        <w:t>个预算项目</w:t>
      </w:r>
      <w:r>
        <w:rPr>
          <w:rFonts w:hint="eastAsia" w:ascii="仿宋_GB2312" w:hAnsi="仿宋" w:eastAsia="仿宋_GB2312"/>
          <w:color w:val="auto"/>
          <w:sz w:val="32"/>
          <w:szCs w:val="32"/>
          <w:highlight w:val="none"/>
        </w:rPr>
        <w:t>，由市福利中心</w:t>
      </w:r>
      <w:r>
        <w:rPr>
          <w:rFonts w:hint="eastAsia" w:ascii="仿宋_GB2312" w:hAnsi="仿宋" w:eastAsia="仿宋_GB2312"/>
          <w:color w:val="auto"/>
          <w:sz w:val="32"/>
          <w:szCs w:val="32"/>
          <w:highlight w:val="none"/>
          <w:lang w:val="en-US" w:eastAsia="zh-CN"/>
        </w:rPr>
        <w:t>下</w:t>
      </w:r>
      <w:r>
        <w:rPr>
          <w:rFonts w:hint="eastAsia" w:ascii="仿宋_GB2312" w:hAnsi="仿宋" w:eastAsia="仿宋_GB2312"/>
          <w:color w:val="auto"/>
          <w:sz w:val="32"/>
          <w:szCs w:val="32"/>
          <w:highlight w:val="none"/>
        </w:rPr>
        <w:t>属福利机构负责实施，</w:t>
      </w:r>
      <w:r>
        <w:rPr>
          <w:rFonts w:hint="eastAsia" w:ascii="仿宋_GB2312" w:hAnsi="仿宋" w:eastAsia="仿宋_GB2312"/>
          <w:color w:val="auto"/>
          <w:sz w:val="32"/>
          <w:szCs w:val="32"/>
          <w:highlight w:val="none"/>
          <w:lang w:val="en-US" w:eastAsia="zh-CN"/>
        </w:rPr>
        <w:t>政府供养保障对象</w:t>
      </w:r>
      <w:r>
        <w:rPr>
          <w:rFonts w:hint="eastAsia" w:ascii="仿宋_GB2312" w:hAnsi="仿宋" w:eastAsia="仿宋_GB2312"/>
          <w:color w:val="auto"/>
          <w:sz w:val="32"/>
          <w:szCs w:val="32"/>
          <w:highlight w:val="none"/>
        </w:rPr>
        <w:t>照料费用严格执行市民政及市财政的统一标准，各福利机构结合各院照料人员的特点每年制定各院照料人员经费开支明细标准并向市福利中心备案。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eastAsia="zh-CN"/>
        </w:rPr>
        <w:t>（</w:t>
      </w:r>
      <w:r>
        <w:rPr>
          <w:rFonts w:ascii="仿宋_GB2312" w:hAnsi="仿宋" w:eastAsia="仿宋_GB2312"/>
          <w:color w:val="auto"/>
          <w:sz w:val="32"/>
          <w:szCs w:val="32"/>
          <w:highlight w:val="none"/>
        </w:rPr>
        <w:t>3）</w:t>
      </w:r>
      <w:r>
        <w:rPr>
          <w:rFonts w:hint="eastAsia" w:ascii="仿宋_GB2312" w:hAnsi="仿宋" w:eastAsia="仿宋_GB2312"/>
          <w:color w:val="auto"/>
          <w:sz w:val="32"/>
          <w:szCs w:val="32"/>
          <w:highlight w:val="none"/>
        </w:rPr>
        <w:t>保障市属殡葬</w:t>
      </w:r>
      <w:r>
        <w:rPr>
          <w:rFonts w:hint="eastAsia" w:ascii="仿宋_GB2312" w:hAnsi="仿宋" w:eastAsia="仿宋_GB2312"/>
          <w:color w:val="auto"/>
          <w:sz w:val="32"/>
          <w:szCs w:val="32"/>
          <w:highlight w:val="none"/>
          <w:lang w:val="en-US" w:eastAsia="zh-CN"/>
        </w:rPr>
        <w:t>单位</w:t>
      </w:r>
      <w:r>
        <w:rPr>
          <w:rFonts w:hint="eastAsia" w:ascii="仿宋_GB2312" w:hAnsi="仿宋" w:eastAsia="仿宋_GB2312"/>
          <w:color w:val="auto"/>
          <w:sz w:val="32"/>
          <w:szCs w:val="32"/>
          <w:highlight w:val="none"/>
        </w:rPr>
        <w:t>清明节工作顺利进行、爱国主义基地正常运转等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ascii="仿宋_GB2312" w:hAnsi="仿宋" w:eastAsia="仿宋_GB2312"/>
          <w:color w:val="auto"/>
          <w:sz w:val="32"/>
          <w:szCs w:val="32"/>
          <w:highlight w:val="none"/>
        </w:rPr>
        <w:t>该项工作涵盖</w:t>
      </w:r>
      <w:r>
        <w:rPr>
          <w:rFonts w:hint="eastAsia" w:ascii="仿宋_GB2312" w:hAnsi="仿宋" w:eastAsia="仿宋_GB2312"/>
          <w:color w:val="auto"/>
          <w:sz w:val="32"/>
          <w:szCs w:val="32"/>
          <w:highlight w:val="none"/>
          <w:lang w:val="en-US" w:eastAsia="zh-CN"/>
        </w:rPr>
        <w:t>6</w:t>
      </w:r>
      <w:r>
        <w:rPr>
          <w:rFonts w:ascii="仿宋_GB2312" w:hAnsi="仿宋" w:eastAsia="仿宋_GB2312"/>
          <w:color w:val="auto"/>
          <w:sz w:val="32"/>
          <w:szCs w:val="32"/>
          <w:highlight w:val="none"/>
        </w:rPr>
        <w:t>个预算项目</w:t>
      </w:r>
      <w:r>
        <w:rPr>
          <w:rFonts w:hint="eastAsia" w:ascii="仿宋_GB2312" w:hAnsi="仿宋" w:eastAsia="仿宋_GB2312"/>
          <w:color w:val="auto"/>
          <w:sz w:val="32"/>
          <w:szCs w:val="32"/>
          <w:highlight w:val="none"/>
        </w:rPr>
        <w:t>，项目实施中严格执行与项目实施内容相关的各项国家行业标准及法规，针对疫情防控常态化保障清明祭扫服务，提高群众爱国主义思想教育。</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保障市直属福利企业困难残疾职工困难群体基本生活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ascii="仿宋_GB2312" w:hAnsi="仿宋_GB2312" w:eastAsia="仿宋_GB2312" w:cs="仿宋_GB2312"/>
          <w:color w:val="auto"/>
          <w:sz w:val="32"/>
          <w:szCs w:val="32"/>
          <w:highlight w:val="none"/>
        </w:rPr>
        <w:t>该项工作涵盖</w:t>
      </w:r>
      <w:r>
        <w:rPr>
          <w:rFonts w:hint="eastAsia" w:ascii="仿宋_GB2312" w:hAnsi="仿宋_GB2312" w:eastAsia="仿宋_GB2312" w:cs="仿宋_GB2312"/>
          <w:color w:val="auto"/>
          <w:sz w:val="32"/>
          <w:szCs w:val="32"/>
          <w:highlight w:val="none"/>
        </w:rPr>
        <w:t>4</w:t>
      </w:r>
      <w:r>
        <w:rPr>
          <w:rFonts w:ascii="仿宋_GB2312" w:hAnsi="仿宋_GB2312" w:eastAsia="仿宋_GB2312" w:cs="仿宋_GB2312"/>
          <w:color w:val="auto"/>
          <w:sz w:val="32"/>
          <w:szCs w:val="32"/>
          <w:highlight w:val="none"/>
        </w:rPr>
        <w:t>个预算项目</w:t>
      </w:r>
      <w:r>
        <w:rPr>
          <w:rFonts w:hint="eastAsia" w:ascii="仿宋_GB2312" w:hAnsi="仿宋_GB2312" w:eastAsia="仿宋_GB2312" w:cs="仿宋_GB2312"/>
          <w:color w:val="auto"/>
          <w:sz w:val="32"/>
          <w:szCs w:val="32"/>
          <w:highlight w:val="none"/>
        </w:rPr>
        <w:t>，由民政工业总公司牵头负责，项目实施中严格执行与项目实施内容相关的各项国家行业标准及法规，如：根据国家文件要求盲人补助标准1960.66元/月、其他残疾人补助标准1743.53元/月。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产出进度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截</w:t>
      </w:r>
      <w:r>
        <w:rPr>
          <w:rFonts w:hint="eastAsia" w:ascii="仿宋_GB2312" w:hAnsi="仿宋" w:eastAsia="仿宋_GB2312"/>
          <w:color w:val="auto"/>
          <w:sz w:val="32"/>
          <w:szCs w:val="32"/>
          <w:highlight w:val="none"/>
          <w:lang w:val="en-US" w:eastAsia="zh-CN"/>
        </w:rPr>
        <w:t>至</w:t>
      </w:r>
      <w:r>
        <w:rPr>
          <w:rFonts w:hint="eastAsia" w:ascii="仿宋_GB2312" w:hAnsi="仿宋" w:eastAsia="仿宋_GB2312"/>
          <w:color w:val="auto"/>
          <w:sz w:val="32"/>
          <w:szCs w:val="32"/>
          <w:highlight w:val="none"/>
        </w:rPr>
        <w:t>2022年底除去部分受外部实施条件影响未能有效执行的项目外，其余项目基本按照年初计划实施周期实施完成；2022年度未能有效实施开展的项目涉及到的年度财政预算资金，市福利中心均已及时予以预算调减并提前交还市财政，有效避免财政资金的浪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未能有效开展的项目情况简述如下：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（1）保障单位日常运转，严格执行预算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①推动全面从严治党向纵深发展相关工作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受疫情影响，福利事务工作经费原计划的7场线下活动3场改为线上举行，党建工作经费项目受疫情及</w:t>
      </w:r>
      <w:r>
        <w:rPr>
          <w:rFonts w:hint="eastAsia" w:ascii="仿宋_GB2312" w:hAnsi="仿宋" w:eastAsia="仿宋_GB2312"/>
          <w:color w:val="auto"/>
          <w:sz w:val="32"/>
          <w:szCs w:val="32"/>
          <w:highlight w:val="none"/>
          <w:lang w:val="en-US" w:eastAsia="zh-CN"/>
        </w:rPr>
        <w:t>新</w:t>
      </w:r>
      <w:r>
        <w:rPr>
          <w:rFonts w:hint="eastAsia" w:ascii="仿宋_GB2312" w:hAnsi="仿宋" w:eastAsia="仿宋_GB2312"/>
          <w:color w:val="auto"/>
          <w:sz w:val="32"/>
          <w:szCs w:val="32"/>
          <w:highlight w:val="none"/>
        </w:rPr>
        <w:t>进党员人次影响2个培训班无法正常进行。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 w:eastAsia="仿宋_GB2312"/>
          <w:color w:val="auto"/>
          <w:sz w:val="32"/>
          <w:szCs w:val="32"/>
          <w:highlight w:val="none"/>
        </w:rPr>
        <w:t>②</w:t>
      </w:r>
      <w:r>
        <w:rPr>
          <w:rFonts w:hint="eastAsia" w:ascii="仿宋_GB2312" w:hAnsi="仿宋_GB2312" w:eastAsia="仿宋_GB2312" w:cs="仿宋_GB2312"/>
          <w:color w:val="auto"/>
          <w:sz w:val="32"/>
          <w:szCs w:val="32"/>
          <w:highlight w:val="none"/>
        </w:rPr>
        <w:t>提升福利机构和殡葬单位服务保障能力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受疫情影响，聘用保安、护士等劳务派遣人员未达到预计绩效目标，烟感探测器清理和消防感应报警系统维护、检测及心理减压培训等部分未实施，SOS儿童村的设施设备保养、环境美化工作改为由院内物业人员进行简单清洁，西北旺房屋修缮因手续准备不充分等原因暂缓实施。</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③深入推进市属福利机构社会化改革发展，积极稳妥推进市属殡葬单位改革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因疫情封闭及委办局和</w:t>
      </w:r>
      <w:r>
        <w:rPr>
          <w:rFonts w:ascii="仿宋_GB2312" w:hAnsi="仿宋_GB2312" w:eastAsia="仿宋_GB2312" w:cs="仿宋_GB2312"/>
          <w:color w:val="auto"/>
          <w:sz w:val="32"/>
          <w:szCs w:val="32"/>
          <w:highlight w:val="none"/>
        </w:rPr>
        <w:t>市卫健委相关手续</w:t>
      </w:r>
      <w:r>
        <w:rPr>
          <w:rFonts w:hint="eastAsia" w:ascii="仿宋_GB2312" w:hAnsi="仿宋_GB2312" w:eastAsia="仿宋_GB2312" w:cs="仿宋_GB2312"/>
          <w:color w:val="auto"/>
          <w:sz w:val="32"/>
          <w:szCs w:val="32"/>
          <w:highlight w:val="none"/>
        </w:rPr>
        <w:t>未完成批复第三社会福利院、儿童福利院和社会福利医院未完成车辆购置项目；</w:t>
      </w:r>
      <w:r>
        <w:rPr>
          <w:rFonts w:ascii="仿宋_GB2312" w:hAnsi="仿宋_GB2312" w:eastAsia="仿宋_GB2312" w:cs="仿宋_GB2312"/>
          <w:color w:val="auto"/>
          <w:sz w:val="32"/>
          <w:szCs w:val="32"/>
          <w:highlight w:val="none"/>
        </w:rPr>
        <w:t>因疫情原因</w:t>
      </w:r>
      <w:r>
        <w:rPr>
          <w:rFonts w:hint="eastAsia" w:ascii="仿宋_GB2312" w:hAnsi="仿宋_GB2312" w:eastAsia="仿宋_GB2312" w:cs="仿宋_GB2312"/>
          <w:color w:val="auto"/>
          <w:sz w:val="32"/>
          <w:szCs w:val="32"/>
          <w:highlight w:val="none"/>
        </w:rPr>
        <w:t>各福利机构实行</w:t>
      </w:r>
      <w:r>
        <w:rPr>
          <w:rFonts w:ascii="仿宋_GB2312" w:hAnsi="仿宋_GB2312" w:eastAsia="仿宋_GB2312" w:cs="仿宋_GB2312"/>
          <w:color w:val="auto"/>
          <w:sz w:val="32"/>
          <w:szCs w:val="32"/>
          <w:highlight w:val="none"/>
        </w:rPr>
        <w:t>封闭管理</w:t>
      </w:r>
      <w:r>
        <w:rPr>
          <w:rFonts w:hint="eastAsia" w:ascii="仿宋_GB2312" w:hAnsi="仿宋_GB2312" w:eastAsia="仿宋_GB2312" w:cs="仿宋_GB2312"/>
          <w:color w:val="auto"/>
          <w:sz w:val="32"/>
          <w:szCs w:val="32"/>
          <w:highlight w:val="none"/>
        </w:rPr>
        <w:t>，</w:t>
      </w:r>
      <w:r>
        <w:rPr>
          <w:rFonts w:ascii="仿宋_GB2312" w:hAnsi="仿宋_GB2312" w:eastAsia="仿宋_GB2312" w:cs="仿宋_GB2312"/>
          <w:color w:val="auto"/>
          <w:sz w:val="32"/>
          <w:szCs w:val="32"/>
          <w:highlight w:val="none"/>
        </w:rPr>
        <w:t>第一社会福利院安装养老护理安全监测设施</w:t>
      </w:r>
      <w:r>
        <w:rPr>
          <w:rFonts w:hint="eastAsia" w:ascii="仿宋_GB2312" w:hAnsi="仿宋_GB2312" w:eastAsia="仿宋_GB2312" w:cs="仿宋_GB2312"/>
          <w:color w:val="auto"/>
          <w:sz w:val="32"/>
          <w:szCs w:val="32"/>
          <w:highlight w:val="none"/>
        </w:rPr>
        <w:t>仅完成支付首付款</w:t>
      </w:r>
      <w:r>
        <w:rPr>
          <w:rFonts w:hint="eastAsia" w:ascii="仿宋_GB2312" w:hAnsi="仿宋_GB2312" w:eastAsia="仿宋_GB2312" w:cs="仿宋_GB2312"/>
          <w:color w:val="auto"/>
          <w:sz w:val="32"/>
          <w:szCs w:val="32"/>
          <w:highlight w:val="none"/>
          <w:lang w:val="en-US" w:eastAsia="zh-CN"/>
        </w:rPr>
        <w:t>工作</w:t>
      </w:r>
      <w:r>
        <w:rPr>
          <w:rFonts w:hint="eastAsia" w:ascii="仿宋_GB2312" w:hAnsi="仿宋_GB2312" w:eastAsia="仿宋_GB2312" w:cs="仿宋_GB2312"/>
          <w:color w:val="auto"/>
          <w:sz w:val="32"/>
          <w:szCs w:val="32"/>
          <w:highlight w:val="none"/>
        </w:rPr>
        <w:t>，更新7号楼全部空调外机组项目未完成安装工作；第三社会福利院室外屋面防水维修工程未实施；儿童福利院因隔离楼权属证明问题，造成无法办理开工证，部分建筑楼体未完成改造工程</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产出成本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市福利中心2022年度年初项目总数1</w:t>
      </w:r>
      <w:r>
        <w:rPr>
          <w:rFonts w:hint="eastAsia" w:ascii="仿宋_GB2312" w:hAnsi="仿宋" w:eastAsia="仿宋_GB2312"/>
          <w:color w:val="auto"/>
          <w:sz w:val="32"/>
          <w:szCs w:val="32"/>
          <w:highlight w:val="none"/>
          <w:lang w:val="en-US" w:eastAsia="zh-CN"/>
        </w:rPr>
        <w:t>04</w:t>
      </w:r>
      <w:r>
        <w:rPr>
          <w:rFonts w:hint="eastAsia" w:ascii="仿宋_GB2312" w:hAnsi="仿宋" w:eastAsia="仿宋_GB2312"/>
          <w:color w:val="auto"/>
          <w:sz w:val="32"/>
          <w:szCs w:val="32"/>
          <w:highlight w:val="none"/>
        </w:rPr>
        <w:t>个</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年中和年末</w:t>
      </w:r>
      <w:r>
        <w:rPr>
          <w:rFonts w:hint="eastAsia" w:ascii="仿宋_GB2312" w:hAnsi="仿宋" w:eastAsia="仿宋_GB2312"/>
          <w:color w:val="auto"/>
          <w:sz w:val="32"/>
          <w:szCs w:val="32"/>
          <w:highlight w:val="none"/>
          <w:lang w:val="en-US" w:eastAsia="zh-CN"/>
        </w:rPr>
        <w:t>共</w:t>
      </w:r>
      <w:r>
        <w:rPr>
          <w:rFonts w:hint="eastAsia" w:ascii="仿宋_GB2312" w:hAnsi="仿宋" w:eastAsia="仿宋_GB2312"/>
          <w:color w:val="auto"/>
          <w:sz w:val="32"/>
          <w:szCs w:val="32"/>
          <w:highlight w:val="none"/>
        </w:rPr>
        <w:t>追加项目</w:t>
      </w:r>
      <w:r>
        <w:rPr>
          <w:rFonts w:hint="eastAsia" w:ascii="仿宋_GB2312" w:hAnsi="仿宋" w:eastAsia="仿宋_GB2312"/>
          <w:color w:val="auto"/>
          <w:sz w:val="32"/>
          <w:szCs w:val="32"/>
          <w:highlight w:val="none"/>
          <w:lang w:val="en-US" w:eastAsia="zh-CN"/>
        </w:rPr>
        <w:t>8</w:t>
      </w:r>
      <w:r>
        <w:rPr>
          <w:rFonts w:hint="eastAsia" w:ascii="仿宋_GB2312" w:hAnsi="仿宋" w:eastAsia="仿宋_GB2312"/>
          <w:color w:val="auto"/>
          <w:sz w:val="32"/>
          <w:szCs w:val="32"/>
          <w:highlight w:val="none"/>
        </w:rPr>
        <w:t>个，合计1</w:t>
      </w:r>
      <w:r>
        <w:rPr>
          <w:rFonts w:hint="eastAsia" w:ascii="仿宋_GB2312" w:hAnsi="仿宋" w:eastAsia="仿宋_GB2312"/>
          <w:color w:val="auto"/>
          <w:sz w:val="32"/>
          <w:szCs w:val="32"/>
          <w:highlight w:val="none"/>
          <w:lang w:val="en-US" w:eastAsia="zh-CN"/>
        </w:rPr>
        <w:t>12</w:t>
      </w:r>
      <w:r>
        <w:rPr>
          <w:rFonts w:hint="eastAsia" w:ascii="仿宋_GB2312" w:hAnsi="仿宋" w:eastAsia="仿宋_GB2312"/>
          <w:color w:val="auto"/>
          <w:sz w:val="32"/>
          <w:szCs w:val="32"/>
          <w:highlight w:val="none"/>
        </w:rPr>
        <w:t>个，预算总额为64064.05 万元，全年实际到位金额为69018.32 万元，实际实施项目1</w:t>
      </w:r>
      <w:r>
        <w:rPr>
          <w:rFonts w:hint="eastAsia" w:ascii="仿宋_GB2312" w:hAnsi="仿宋" w:eastAsia="仿宋_GB2312"/>
          <w:color w:val="auto"/>
          <w:sz w:val="32"/>
          <w:szCs w:val="32"/>
          <w:highlight w:val="none"/>
          <w:lang w:val="en-US" w:eastAsia="zh-CN"/>
        </w:rPr>
        <w:t>12</w:t>
      </w:r>
      <w:r>
        <w:rPr>
          <w:rFonts w:hint="eastAsia" w:ascii="仿宋_GB2312" w:hAnsi="仿宋" w:eastAsia="仿宋_GB2312"/>
          <w:color w:val="auto"/>
          <w:sz w:val="32"/>
          <w:szCs w:val="32"/>
          <w:highlight w:val="none"/>
        </w:rPr>
        <w:t>个，支出总额为61760.69万元</w:t>
      </w:r>
      <w:r>
        <w:rPr>
          <w:rFonts w:hint="eastAsia" w:ascii="仿宋_GB2312" w:hAnsi="仿宋" w:eastAsia="仿宋_GB2312"/>
          <w:color w:val="auto"/>
          <w:sz w:val="32"/>
          <w:szCs w:val="32"/>
          <w:highlight w:val="none"/>
          <w:lang w:eastAsia="zh-CN"/>
        </w:rPr>
        <w:t>，</w:t>
      </w:r>
      <w:r>
        <w:rPr>
          <w:rFonts w:ascii="仿宋_GB2312" w:hAnsi="仿宋" w:eastAsia="仿宋_GB2312"/>
          <w:color w:val="auto"/>
          <w:sz w:val="32"/>
          <w:szCs w:val="32"/>
          <w:highlight w:val="none"/>
        </w:rPr>
        <w:t>预算实际到位执行率为</w:t>
      </w:r>
      <w:r>
        <w:rPr>
          <w:rFonts w:hint="eastAsia" w:ascii="仿宋_GB2312" w:hAnsi="仿宋" w:eastAsia="仿宋_GB2312"/>
          <w:color w:val="auto"/>
          <w:sz w:val="32"/>
          <w:szCs w:val="32"/>
          <w:highlight w:val="none"/>
        </w:rPr>
        <w:t>89.</w:t>
      </w:r>
      <w:r>
        <w:rPr>
          <w:rFonts w:hint="eastAsia" w:ascii="仿宋_GB2312" w:hAnsi="仿宋" w:eastAsia="仿宋_GB2312"/>
          <w:color w:val="auto"/>
          <w:sz w:val="32"/>
          <w:szCs w:val="32"/>
          <w:highlight w:val="none"/>
          <w:lang w:val="en-US" w:eastAsia="zh-CN"/>
        </w:rPr>
        <w:t>4</w:t>
      </w:r>
      <w:r>
        <w:rPr>
          <w:rFonts w:hint="eastAsia" w:ascii="仿宋_GB2312" w:hAnsi="仿宋" w:eastAsia="仿宋_GB2312"/>
          <w:color w:val="auto"/>
          <w:sz w:val="32"/>
          <w:szCs w:val="32"/>
          <w:highlight w:val="none"/>
        </w:rPr>
        <w:t>8%</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年末结转结余均为未执行完的年中和年末追加调整的项目经费，</w:t>
      </w:r>
      <w:r>
        <w:rPr>
          <w:rFonts w:hint="eastAsia" w:ascii="仿宋_GB2312" w:hAnsi="仿宋" w:eastAsia="仿宋_GB2312"/>
          <w:color w:val="auto"/>
          <w:sz w:val="32"/>
          <w:szCs w:val="32"/>
          <w:highlight w:val="none"/>
          <w:lang w:val="en-US" w:eastAsia="zh-CN"/>
        </w:rPr>
        <w:t>上述</w:t>
      </w:r>
      <w:r>
        <w:rPr>
          <w:rFonts w:hint="eastAsia" w:ascii="仿宋_GB2312" w:hAnsi="仿宋" w:eastAsia="仿宋_GB2312"/>
          <w:color w:val="auto"/>
          <w:sz w:val="32"/>
          <w:szCs w:val="32"/>
          <w:highlight w:val="none"/>
        </w:rPr>
        <w:t>追加经费已于202</w:t>
      </w:r>
      <w:r>
        <w:rPr>
          <w:rFonts w:hint="eastAsia" w:ascii="仿宋_GB2312" w:hAnsi="仿宋" w:eastAsia="仿宋_GB2312"/>
          <w:color w:val="auto"/>
          <w:sz w:val="32"/>
          <w:szCs w:val="32"/>
          <w:highlight w:val="none"/>
          <w:lang w:val="en-US" w:eastAsia="zh-CN"/>
        </w:rPr>
        <w:t>3</w:t>
      </w:r>
      <w:r>
        <w:rPr>
          <w:rFonts w:hint="eastAsia" w:ascii="仿宋_GB2312" w:hAnsi="仿宋" w:eastAsia="仿宋_GB2312"/>
          <w:color w:val="auto"/>
          <w:sz w:val="32"/>
          <w:szCs w:val="32"/>
          <w:highlight w:val="none"/>
        </w:rPr>
        <w:t>年4月底前执行完毕。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10" w:name="_Toc20253"/>
      <w:r>
        <w:rPr>
          <w:rFonts w:hint="eastAsia" w:ascii="楷体_GB2312" w:eastAsia="楷体_GB2312"/>
          <w:color w:val="auto"/>
          <w:sz w:val="32"/>
          <w:szCs w:val="32"/>
          <w:highlight w:val="none"/>
        </w:rPr>
        <w:t>（二）效果实现情况分析</w:t>
      </w:r>
      <w:bookmarkEnd w:id="10"/>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1.经济效益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市福利中心通过聘用工作人员、保安人员、专业看护及照料人员，有效节约了各单位人员成本开支</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提高了财政资金使用效率；设备购置、工程施工、信息化升级改造类项目均按照政府采购工作要求执行招投标等工作，有效降低了项目采购成本，提高了资金使用效益，提升了项目的经济效益。同时，在疫情影响的大环境下，市福利中心下属各单位积极开拓业务，总体的事业收入和经营收入比预算分别增加了715万元、814万元，经济效益有所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2.社会效益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（1）保障单位日常运转，严格执行预算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①推动全面从严治党向纵深发展相关工作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财务及财务监督审计工作，保障民政资金使用效益，促进福利事业发展、预算编制更加科学，提高会计信息质量和财务核算及管理水平，预算执行更加规范；党务、队伍建设及培训班工作，强化党员政治思想理论武装，提升党员政治觉悟、政治素养，提高新时代北京社会建设和民政系统意识形态和新闻宣传工作水平，加强新冠肺炎疫情防控等复杂形势下的舆论引导、阵地建设和风险防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福利事务工作经费，保障市属福利机构服务质量及服务对象合法</w:t>
      </w:r>
      <w:r>
        <w:rPr>
          <w:rFonts w:hint="eastAsia" w:ascii="仿宋_GB2312" w:hAnsi="仿宋" w:eastAsia="仿宋_GB2312"/>
          <w:color w:val="auto"/>
          <w:sz w:val="32"/>
          <w:szCs w:val="32"/>
          <w:highlight w:val="none"/>
          <w:lang w:val="en-US" w:eastAsia="zh-CN"/>
        </w:rPr>
        <w:t>权</w:t>
      </w:r>
      <w:r>
        <w:rPr>
          <w:rFonts w:hint="eastAsia" w:ascii="仿宋_GB2312" w:hAnsi="仿宋" w:eastAsia="仿宋_GB2312"/>
          <w:color w:val="auto"/>
          <w:sz w:val="32"/>
          <w:szCs w:val="32"/>
          <w:highlight w:val="none"/>
        </w:rPr>
        <w:t>益，公建民营养老机构安全稳定；老干部活动经费，积极落实好《北京市老干部工作领导责任制</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北京市民政局老干部工作领导责任制》要求，进一步加强两项建设工作，落实好两项待遇，努力营造和谐氛围；福利企业残疾人文化建设经费更好</w:t>
      </w:r>
      <w:r>
        <w:rPr>
          <w:rFonts w:hint="eastAsia" w:ascii="仿宋_GB2312" w:hAnsi="仿宋" w:eastAsia="仿宋_GB2312"/>
          <w:color w:val="auto"/>
          <w:sz w:val="32"/>
          <w:szCs w:val="32"/>
          <w:highlight w:val="none"/>
          <w:lang w:eastAsia="zh-CN"/>
        </w:rPr>
        <w:t>地</w:t>
      </w:r>
      <w:r>
        <w:rPr>
          <w:rFonts w:hint="eastAsia" w:ascii="仿宋_GB2312" w:hAnsi="仿宋" w:eastAsia="仿宋_GB2312"/>
          <w:color w:val="auto"/>
          <w:sz w:val="32"/>
          <w:szCs w:val="32"/>
          <w:highlight w:val="none"/>
        </w:rPr>
        <w:t>充实残疾职工的精神文化生活。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②提升福利机构和殡葬单位服务保障能力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市福利中心</w:t>
      </w:r>
      <w:r>
        <w:rPr>
          <w:rFonts w:hint="eastAsia" w:ascii="仿宋_GB2312" w:hAnsi="仿宋" w:eastAsia="仿宋_GB2312"/>
          <w:color w:val="auto"/>
          <w:sz w:val="32"/>
          <w:szCs w:val="32"/>
          <w:highlight w:val="none"/>
          <w:lang w:val="en-US" w:eastAsia="zh-CN"/>
        </w:rPr>
        <w:t>及</w:t>
      </w:r>
      <w:r>
        <w:rPr>
          <w:rFonts w:hint="eastAsia" w:ascii="仿宋_GB2312" w:hAnsi="仿宋" w:eastAsia="仿宋_GB2312"/>
          <w:color w:val="auto"/>
          <w:sz w:val="32"/>
          <w:szCs w:val="32"/>
          <w:highlight w:val="none"/>
        </w:rPr>
        <w:t>下属预算单位的机构运行保障类项目为福利</w:t>
      </w:r>
      <w:r>
        <w:rPr>
          <w:rFonts w:hint="eastAsia" w:ascii="仿宋_GB2312" w:hAnsi="仿宋" w:eastAsia="仿宋_GB2312"/>
          <w:color w:val="auto"/>
          <w:sz w:val="32"/>
          <w:szCs w:val="32"/>
          <w:highlight w:val="none"/>
          <w:lang w:val="en-US" w:eastAsia="zh-CN"/>
        </w:rPr>
        <w:t>机构</w:t>
      </w:r>
      <w:r>
        <w:rPr>
          <w:rFonts w:hint="eastAsia" w:ascii="仿宋_GB2312" w:hAnsi="仿宋" w:eastAsia="仿宋_GB2312"/>
          <w:color w:val="auto"/>
          <w:sz w:val="32"/>
          <w:szCs w:val="32"/>
          <w:highlight w:val="none"/>
        </w:rPr>
        <w:t>及殡葬单位提供了安全保障，使院内的安全管理达到规范管理；维持各院良好的环境秩序，提升岗位技能及心理减压活动帮助员工缓解职业压力，提升职工身心健康。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③深入推进市属福利机构社会化改革发展，积极稳妥推进市属殡葬单位改革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 w:eastAsia="仿宋_GB2312"/>
          <w:color w:val="auto"/>
          <w:sz w:val="32"/>
          <w:szCs w:val="32"/>
          <w:highlight w:val="none"/>
        </w:rPr>
        <w:t>市福利中心</w:t>
      </w:r>
      <w:r>
        <w:rPr>
          <w:rFonts w:hint="eastAsia" w:ascii="仿宋_GB2312" w:hAnsi="仿宋" w:eastAsia="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rPr>
        <w:t>下属各福利院采购药品、医用耗材及实验室设备</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购置，为院内职工和政府供养保障对象提供</w:t>
      </w:r>
      <w:r>
        <w:rPr>
          <w:rFonts w:hint="eastAsia" w:ascii="仿宋_GB2312" w:hAnsi="仿宋_GB2312" w:eastAsia="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rPr>
        <w:t>康复治疗用药，发挥综合医疗机构作用，保障医疗业务顺利有序开展；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第三社会福利院院内部分房屋屋面防水工程保障</w:t>
      </w:r>
      <w:r>
        <w:rPr>
          <w:rFonts w:hint="eastAsia" w:ascii="仿宋_GB2312" w:hAnsi="仿宋_GB2312" w:eastAsia="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rPr>
        <w:t>职工</w:t>
      </w:r>
      <w:r>
        <w:rPr>
          <w:rFonts w:hint="eastAsia" w:ascii="仿宋_GB2312" w:hAnsi="仿宋_GB2312" w:eastAsia="仿宋_GB2312" w:cs="仿宋_GB2312"/>
          <w:color w:val="auto"/>
          <w:sz w:val="32"/>
          <w:szCs w:val="32"/>
          <w:highlight w:val="none"/>
          <w:lang w:val="en-US" w:eastAsia="zh-CN"/>
        </w:rPr>
        <w:t>和政府供养保障对象</w:t>
      </w:r>
      <w:r>
        <w:rPr>
          <w:rFonts w:hint="eastAsia" w:ascii="仿宋_GB2312" w:hAnsi="仿宋_GB2312" w:eastAsia="仿宋_GB2312" w:cs="仿宋_GB2312"/>
          <w:color w:val="auto"/>
          <w:sz w:val="32"/>
          <w:szCs w:val="32"/>
          <w:highlight w:val="none"/>
        </w:rPr>
        <w:t>的工作生活环境；八宝山殡仪馆西配楼业务室装修改造及空调风机盘管及水路管道更新，东郊殡仪馆箱变维护更换、车间火化炉大修改造，殡葬服务中心水泥路面的修缮等均有效保障了</w:t>
      </w:r>
      <w:r>
        <w:rPr>
          <w:rFonts w:hint="eastAsia" w:ascii="仿宋_GB2312" w:hAnsi="仿宋_GB2312" w:eastAsia="仿宋_GB2312" w:cs="仿宋_GB2312"/>
          <w:color w:val="auto"/>
          <w:sz w:val="32"/>
          <w:szCs w:val="32"/>
          <w:highlight w:val="none"/>
          <w:lang w:val="en-US" w:eastAsia="zh-CN"/>
        </w:rPr>
        <w:t>殡葬单位</w:t>
      </w:r>
      <w:r>
        <w:rPr>
          <w:rFonts w:hint="eastAsia" w:ascii="仿宋_GB2312" w:hAnsi="仿宋_GB2312" w:eastAsia="仿宋_GB2312" w:cs="仿宋_GB2312"/>
          <w:color w:val="auto"/>
          <w:sz w:val="32"/>
          <w:szCs w:val="32"/>
          <w:highlight w:val="none"/>
        </w:rPr>
        <w:t>日常工作需要，消除一部分安全隐患，提升了市属</w:t>
      </w:r>
      <w:r>
        <w:rPr>
          <w:rFonts w:hint="eastAsia" w:ascii="仿宋_GB2312" w:hAnsi="仿宋_GB2312" w:eastAsia="仿宋_GB2312" w:cs="仿宋_GB2312"/>
          <w:color w:val="auto"/>
          <w:sz w:val="32"/>
          <w:szCs w:val="32"/>
          <w:highlight w:val="none"/>
          <w:lang w:val="en-US" w:eastAsia="zh-CN"/>
        </w:rPr>
        <w:t>殡葬单位</w:t>
      </w:r>
      <w:r>
        <w:rPr>
          <w:rFonts w:hint="eastAsia" w:ascii="仿宋_GB2312" w:hAnsi="仿宋_GB2312" w:eastAsia="仿宋_GB2312" w:cs="仿宋_GB2312"/>
          <w:color w:val="auto"/>
          <w:sz w:val="32"/>
          <w:szCs w:val="32"/>
          <w:highlight w:val="none"/>
        </w:rPr>
        <w:t>整体形象</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④保障网络信息化规范运行，单位日常正常运营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_GB2312" w:eastAsia="仿宋_GB2312" w:cs="仿宋_GB2312"/>
          <w:color w:val="auto"/>
          <w:sz w:val="32"/>
          <w:szCs w:val="32"/>
          <w:highlight w:val="none"/>
        </w:rPr>
        <w:t>市福利中心及下属各福利机构信息系统运维类项目</w:t>
      </w:r>
      <w:r>
        <w:rPr>
          <w:rFonts w:hint="eastAsia" w:ascii="仿宋_GB2312" w:hAnsi="仿宋" w:eastAsia="仿宋_GB2312"/>
          <w:color w:val="auto"/>
          <w:sz w:val="32"/>
          <w:szCs w:val="32"/>
          <w:highlight w:val="none"/>
        </w:rPr>
        <w:t>有效满足员工及被照料人员上网需求，确保信息化各项系统正常运行，工作正常运转。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⑤提升殡葬单位服务保障能力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ascii="仿宋_GB2312" w:hAnsi="仿宋_GB2312" w:eastAsia="仿宋_GB2312" w:cs="仿宋_GB2312"/>
          <w:color w:val="auto"/>
          <w:sz w:val="32"/>
          <w:szCs w:val="32"/>
          <w:highlight w:val="none"/>
        </w:rPr>
        <w:t>市福利中心下属</w:t>
      </w:r>
      <w:r>
        <w:rPr>
          <w:rFonts w:hint="eastAsia" w:ascii="仿宋_GB2312" w:hAnsi="仿宋_GB2312" w:eastAsia="仿宋_GB2312" w:cs="仿宋_GB2312"/>
          <w:color w:val="auto"/>
          <w:sz w:val="32"/>
          <w:szCs w:val="32"/>
          <w:highlight w:val="none"/>
        </w:rPr>
        <w:t>各</w:t>
      </w:r>
      <w:r>
        <w:rPr>
          <w:rFonts w:ascii="仿宋_GB2312" w:hAnsi="仿宋_GB2312" w:eastAsia="仿宋_GB2312" w:cs="仿宋_GB2312"/>
          <w:color w:val="auto"/>
          <w:sz w:val="32"/>
          <w:szCs w:val="32"/>
          <w:highlight w:val="none"/>
        </w:rPr>
        <w:t>殡葬</w:t>
      </w:r>
      <w:r>
        <w:rPr>
          <w:rFonts w:hint="eastAsia" w:ascii="仿宋_GB2312" w:hAnsi="仿宋_GB2312" w:eastAsia="仿宋_GB2312" w:cs="仿宋_GB2312"/>
          <w:color w:val="auto"/>
          <w:sz w:val="32"/>
          <w:szCs w:val="32"/>
          <w:highlight w:val="none"/>
        </w:rPr>
        <w:t>单位</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丧葬经营成本项目将安葬多样化，解决了家属日益增长的业务需求，扩大了生态墓区范围，保护古树增强生态文明建设，</w:t>
      </w:r>
      <w:r>
        <w:rPr>
          <w:rFonts w:hint="eastAsia" w:ascii="仿宋_GB2312" w:hAnsi="仿宋_GB2312" w:eastAsia="仿宋_GB2312" w:cs="仿宋_GB2312"/>
          <w:color w:val="auto"/>
          <w:sz w:val="32"/>
          <w:szCs w:val="32"/>
          <w:highlight w:val="none"/>
          <w:lang w:val="en-US" w:eastAsia="zh-CN"/>
        </w:rPr>
        <w:t>保障</w:t>
      </w:r>
      <w:r>
        <w:rPr>
          <w:rFonts w:hint="eastAsia" w:ascii="仿宋_GB2312" w:hAnsi="仿宋_GB2312" w:eastAsia="仿宋_GB2312" w:cs="仿宋_GB2312"/>
          <w:color w:val="auto"/>
          <w:sz w:val="32"/>
          <w:szCs w:val="32"/>
          <w:highlight w:val="none"/>
        </w:rPr>
        <w:t>了各殡葬单位管辖墓区的安全与稳定，日常管理</w:t>
      </w:r>
      <w:r>
        <w:rPr>
          <w:rFonts w:hint="eastAsia" w:ascii="仿宋_GB2312" w:hAnsi="仿宋_GB2312" w:eastAsia="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rPr>
        <w:t>维护</w:t>
      </w:r>
      <w:r>
        <w:rPr>
          <w:rFonts w:hint="eastAsia" w:ascii="仿宋_GB2312" w:hAnsi="仿宋_GB2312" w:eastAsia="仿宋_GB2312" w:cs="仿宋_GB2312"/>
          <w:color w:val="auto"/>
          <w:sz w:val="32"/>
          <w:szCs w:val="32"/>
          <w:highlight w:val="none"/>
          <w:lang w:val="en-US" w:eastAsia="zh-CN"/>
        </w:rPr>
        <w:t>等工作</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⑥继续完善疫情防控策略和应对举措，建立健全常态化防控机制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 w:eastAsia="仿宋_GB2312"/>
          <w:color w:val="auto"/>
          <w:sz w:val="32"/>
          <w:szCs w:val="32"/>
          <w:highlight w:val="none"/>
        </w:rPr>
        <w:t>市福利中心及下属各单位</w:t>
      </w:r>
      <w:r>
        <w:rPr>
          <w:rFonts w:hint="eastAsia" w:ascii="仿宋_GB2312" w:hAnsi="仿宋_GB2312" w:eastAsia="仿宋_GB2312" w:cs="仿宋_GB2312"/>
          <w:color w:val="auto"/>
          <w:sz w:val="32"/>
          <w:szCs w:val="32"/>
          <w:highlight w:val="none"/>
        </w:rPr>
        <w:t>保障了各单位各部门卫生防疫、日常清洁用品正常供应</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维持各院良好的环境秩序，响应国家抗疫政策，符合相关政府规定要求。</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_GB2312" w:eastAsia="仿宋_GB2312" w:cs="仿宋_GB2312"/>
          <w:color w:val="auto"/>
          <w:sz w:val="32"/>
          <w:szCs w:val="32"/>
          <w:highlight w:val="none"/>
        </w:rPr>
        <w:t>（2）保障机</w:t>
      </w:r>
      <w:r>
        <w:rPr>
          <w:rFonts w:hint="eastAsia" w:ascii="仿宋_GB2312" w:hAnsi="仿宋" w:eastAsia="仿宋_GB2312"/>
          <w:color w:val="auto"/>
          <w:sz w:val="32"/>
          <w:szCs w:val="32"/>
          <w:highlight w:val="none"/>
        </w:rPr>
        <w:t>构内政府供养保障对象生活，提升福利机构服务保障能力，持续做好养老机构服务保障工作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市福利中心</w:t>
      </w:r>
      <w:r>
        <w:rPr>
          <w:rFonts w:hint="eastAsia" w:ascii="仿宋_GB2312" w:hAnsi="仿宋" w:eastAsia="仿宋_GB2312"/>
          <w:color w:val="auto"/>
          <w:sz w:val="32"/>
          <w:szCs w:val="32"/>
          <w:highlight w:val="none"/>
          <w:lang w:val="en-US" w:eastAsia="zh-CN"/>
        </w:rPr>
        <w:t>下</w:t>
      </w:r>
      <w:r>
        <w:rPr>
          <w:rFonts w:hint="eastAsia" w:ascii="仿宋_GB2312" w:hAnsi="仿宋" w:eastAsia="仿宋_GB2312"/>
          <w:color w:val="auto"/>
          <w:sz w:val="32"/>
          <w:szCs w:val="32"/>
          <w:highlight w:val="none"/>
        </w:rPr>
        <w:t>属福利机构</w:t>
      </w:r>
      <w:r>
        <w:rPr>
          <w:rFonts w:hint="eastAsia" w:ascii="仿宋_GB2312" w:hAnsi="仿宋" w:eastAsia="仿宋_GB2312"/>
          <w:color w:val="auto"/>
          <w:sz w:val="32"/>
          <w:szCs w:val="32"/>
          <w:highlight w:val="none"/>
          <w:lang w:val="en-US" w:eastAsia="zh-CN"/>
        </w:rPr>
        <w:t>的</w:t>
      </w:r>
      <w:r>
        <w:rPr>
          <w:rFonts w:hint="eastAsia" w:ascii="仿宋_GB2312" w:hAnsi="仿宋" w:eastAsia="仿宋_GB2312"/>
          <w:color w:val="auto"/>
          <w:sz w:val="32"/>
          <w:szCs w:val="32"/>
          <w:highlight w:val="none"/>
        </w:rPr>
        <w:t>保障经费类项目满足了政府供养保障对象生活的基本需求，即其基本生活、医疗、后勤等均得到了良好的保障，维护了社会的和谐与稳定，减轻了社会压力，提升了政府部门的影响力和公信力。</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（3）保障市属殡葬</w:t>
      </w:r>
      <w:r>
        <w:rPr>
          <w:rFonts w:hint="eastAsia" w:ascii="仿宋_GB2312" w:hAnsi="仿宋" w:eastAsia="仿宋_GB2312"/>
          <w:color w:val="auto"/>
          <w:sz w:val="32"/>
          <w:szCs w:val="32"/>
          <w:highlight w:val="none"/>
          <w:lang w:val="en-US" w:eastAsia="zh-CN"/>
        </w:rPr>
        <w:t>单位</w:t>
      </w:r>
      <w:r>
        <w:rPr>
          <w:rFonts w:hint="eastAsia" w:ascii="仿宋_GB2312" w:hAnsi="仿宋" w:eastAsia="仿宋_GB2312"/>
          <w:color w:val="auto"/>
          <w:sz w:val="32"/>
          <w:szCs w:val="32"/>
          <w:highlight w:val="none"/>
        </w:rPr>
        <w:t>清明节工作顺利进行、爱国主义基地正常运转等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 w:eastAsia="仿宋_GB2312"/>
          <w:color w:val="auto"/>
          <w:sz w:val="32"/>
          <w:szCs w:val="32"/>
          <w:highlight w:val="none"/>
        </w:rPr>
      </w:pPr>
      <w:r>
        <w:rPr>
          <w:rFonts w:ascii="仿宋_GB2312" w:hAnsi="仿宋" w:eastAsia="仿宋_GB2312"/>
          <w:color w:val="auto"/>
          <w:sz w:val="32"/>
          <w:szCs w:val="32"/>
          <w:highlight w:val="none"/>
        </w:rPr>
        <w:t>该项工作有效服务</w:t>
      </w:r>
      <w:r>
        <w:rPr>
          <w:rFonts w:hint="eastAsia" w:ascii="仿宋_GB2312" w:hAnsi="仿宋" w:eastAsia="仿宋_GB2312"/>
          <w:color w:val="auto"/>
          <w:sz w:val="32"/>
          <w:szCs w:val="32"/>
          <w:highlight w:val="none"/>
          <w:lang w:val="en-US" w:eastAsia="zh-CN"/>
        </w:rPr>
        <w:t>了</w:t>
      </w:r>
      <w:r>
        <w:rPr>
          <w:rFonts w:ascii="仿宋_GB2312" w:hAnsi="仿宋" w:eastAsia="仿宋_GB2312"/>
          <w:color w:val="auto"/>
          <w:sz w:val="32"/>
          <w:szCs w:val="32"/>
          <w:highlight w:val="none"/>
        </w:rPr>
        <w:t>祭扫群众，提高了宣传度，深度挖掘革命事迹大力传承红色基因</w:t>
      </w:r>
      <w:r>
        <w:rPr>
          <w:rFonts w:hint="eastAsia" w:ascii="仿宋_GB2312" w:hAnsi="仿宋" w:eastAsia="仿宋_GB2312"/>
          <w:color w:val="auto"/>
          <w:sz w:val="32"/>
          <w:szCs w:val="32"/>
          <w:highlight w:val="none"/>
          <w:lang w:eastAsia="zh-CN"/>
        </w:rPr>
        <w:t>，</w:t>
      </w:r>
      <w:r>
        <w:rPr>
          <w:rFonts w:ascii="仿宋_GB2312" w:hAnsi="仿宋" w:eastAsia="仿宋_GB2312"/>
          <w:color w:val="auto"/>
          <w:sz w:val="32"/>
          <w:szCs w:val="32"/>
          <w:highlight w:val="none"/>
        </w:rPr>
        <w:t>使教育基地的参观者接受到爱国主义教育，提升</w:t>
      </w:r>
      <w:r>
        <w:rPr>
          <w:rFonts w:hint="eastAsia" w:ascii="仿宋_GB2312" w:hAnsi="仿宋" w:eastAsia="仿宋_GB2312"/>
          <w:color w:val="auto"/>
          <w:sz w:val="32"/>
          <w:szCs w:val="32"/>
          <w:highlight w:val="none"/>
        </w:rPr>
        <w:t>了</w:t>
      </w:r>
      <w:r>
        <w:rPr>
          <w:rFonts w:ascii="仿宋_GB2312" w:hAnsi="仿宋" w:eastAsia="仿宋_GB2312"/>
          <w:color w:val="auto"/>
          <w:sz w:val="32"/>
          <w:szCs w:val="32"/>
          <w:highlight w:val="none"/>
        </w:rPr>
        <w:t>墓园祭扫人员的满意度</w:t>
      </w:r>
      <w:r>
        <w:rPr>
          <w:rFonts w:hint="eastAsia" w:ascii="仿宋_GB2312" w:hAnsi="仿宋" w:eastAsia="仿宋_GB2312"/>
          <w:color w:val="auto"/>
          <w:sz w:val="32"/>
          <w:szCs w:val="32"/>
          <w:highlight w:val="none"/>
        </w:rPr>
        <w:t>水平，将平安文明祭扫、绿色生态祭扫推向深入，实现了安全无事故、服务零投诉的目标。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保障市直属福利企业困难残疾职工困难群体基本生活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直属福利企业困难群体生活补助费及下岗残疾职工生活费补助工作，一定程度上保障了困难群体的基本生活水平，维护了首都社会和福利企业和谐稳定；缓解了民政工业总公司本级和所属企业资金压力，保障了市属福利企业的安全稳定和困难群体的稳定，维护了和谐、安全、祥和的首都环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3.环境效益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信息系统运维类项目的实施采用增加视频会议</w:t>
      </w:r>
      <w:r>
        <w:rPr>
          <w:rFonts w:hint="eastAsia" w:ascii="仿宋_GB2312" w:hAnsi="仿宋_GB2312" w:eastAsia="仿宋_GB2312" w:cs="仿宋_GB2312"/>
          <w:color w:val="auto"/>
          <w:sz w:val="32"/>
          <w:szCs w:val="32"/>
          <w:highlight w:val="none"/>
          <w:lang w:val="en-US" w:eastAsia="zh-CN"/>
        </w:rPr>
        <w:t>的方式</w:t>
      </w:r>
      <w:r>
        <w:rPr>
          <w:rFonts w:hint="eastAsia" w:ascii="仿宋_GB2312" w:hAnsi="仿宋_GB2312" w:eastAsia="仿宋_GB2312" w:cs="仿宋_GB2312"/>
          <w:color w:val="auto"/>
          <w:sz w:val="32"/>
          <w:szCs w:val="32"/>
          <w:highlight w:val="none"/>
        </w:rPr>
        <w:t>，减少</w:t>
      </w:r>
      <w:r>
        <w:rPr>
          <w:rFonts w:hint="eastAsia" w:ascii="仿宋_GB2312" w:hAnsi="仿宋_GB2312" w:eastAsia="仿宋_GB2312" w:cs="仿宋_GB2312"/>
          <w:color w:val="auto"/>
          <w:sz w:val="32"/>
          <w:szCs w:val="32"/>
          <w:highlight w:val="none"/>
          <w:lang w:val="en-US" w:eastAsia="zh-CN"/>
        </w:rPr>
        <w:t>了</w:t>
      </w:r>
      <w:r>
        <w:rPr>
          <w:rFonts w:hint="eastAsia" w:ascii="仿宋_GB2312" w:hAnsi="仿宋_GB2312" w:eastAsia="仿宋_GB2312" w:cs="仿宋_GB2312"/>
          <w:color w:val="auto"/>
          <w:sz w:val="32"/>
          <w:szCs w:val="32"/>
          <w:highlight w:val="none"/>
        </w:rPr>
        <w:t>出行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碳排放量和纸张使用，</w:t>
      </w:r>
      <w:r>
        <w:rPr>
          <w:rFonts w:hint="eastAsia" w:ascii="仿宋_GB2312" w:hAnsi="仿宋_GB2312" w:eastAsia="仿宋_GB2312" w:cs="仿宋_GB2312"/>
          <w:color w:val="auto"/>
          <w:sz w:val="32"/>
          <w:szCs w:val="32"/>
          <w:highlight w:val="none"/>
          <w:lang w:val="en-US" w:eastAsia="zh-CN"/>
        </w:rPr>
        <w:t>实行了</w:t>
      </w:r>
      <w:r>
        <w:rPr>
          <w:rFonts w:hint="eastAsia" w:ascii="仿宋_GB2312" w:hAnsi="仿宋_GB2312" w:eastAsia="仿宋_GB2312" w:cs="仿宋_GB2312"/>
          <w:color w:val="auto"/>
          <w:sz w:val="32"/>
          <w:szCs w:val="32"/>
          <w:highlight w:val="none"/>
        </w:rPr>
        <w:t>低碳绿色环保办公；SOS儿童村环境整治项目更换草坪，增加绿植，令村内生态环境得到改善；康复辅具技术中心办公楼外立面装修运用现代环保建材，符合</w:t>
      </w:r>
      <w:r>
        <w:rPr>
          <w:rFonts w:hint="eastAsia" w:ascii="仿宋_GB2312" w:hAnsi="仿宋_GB2312" w:eastAsia="仿宋_GB2312" w:cs="仿宋_GB2312"/>
          <w:color w:val="auto"/>
          <w:sz w:val="32"/>
          <w:szCs w:val="32"/>
          <w:highlight w:val="none"/>
          <w:lang w:val="en-US" w:eastAsia="zh-CN"/>
        </w:rPr>
        <w:t>低</w:t>
      </w:r>
      <w:r>
        <w:rPr>
          <w:rFonts w:hint="eastAsia" w:ascii="仿宋_GB2312" w:hAnsi="仿宋_GB2312" w:eastAsia="仿宋_GB2312" w:cs="仿宋_GB2312"/>
          <w:color w:val="auto"/>
          <w:sz w:val="32"/>
          <w:szCs w:val="32"/>
          <w:highlight w:val="none"/>
        </w:rPr>
        <w:t>能减排理念；东郊殡仪馆车间火化炉大修改造项目提升火化机运行安全性，符合环保排放指标</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outlineLvl w:val="0"/>
        <w:rPr>
          <w:rFonts w:ascii="黑体" w:hAnsi="黑体" w:eastAsia="黑体" w:cs="宋体"/>
          <w:b w:val="0"/>
          <w:bCs/>
          <w:color w:val="auto"/>
          <w:kern w:val="0"/>
          <w:sz w:val="32"/>
          <w:szCs w:val="32"/>
          <w:highlight w:val="none"/>
        </w:rPr>
      </w:pPr>
      <w:bookmarkStart w:id="11" w:name="_Toc14619"/>
      <w:r>
        <w:rPr>
          <w:rFonts w:hint="eastAsia" w:ascii="黑体" w:hAnsi="黑体" w:eastAsia="黑体" w:cs="宋体"/>
          <w:b w:val="0"/>
          <w:bCs/>
          <w:color w:val="auto"/>
          <w:kern w:val="0"/>
          <w:sz w:val="32"/>
          <w:szCs w:val="32"/>
          <w:highlight w:val="none"/>
        </w:rPr>
        <w:t>四、预算管理情况分析</w:t>
      </w:r>
      <w:bookmarkEnd w:id="1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12" w:name="_Toc18459"/>
      <w:r>
        <w:rPr>
          <w:rFonts w:hint="eastAsia" w:ascii="楷体_GB2312" w:eastAsia="楷体_GB2312"/>
          <w:color w:val="auto"/>
          <w:sz w:val="32"/>
          <w:szCs w:val="32"/>
          <w:highlight w:val="none"/>
        </w:rPr>
        <w:t>（一）财务管理</w:t>
      </w:r>
      <w:bookmarkEnd w:id="12"/>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1.财务管理制度健全性</w:t>
      </w: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 w:eastAsia="仿宋_GB2312"/>
          <w:color w:val="auto"/>
          <w:sz w:val="32"/>
          <w:szCs w:val="32"/>
          <w:highlight w:val="none"/>
        </w:rPr>
        <w:t>市福利中心</w:t>
      </w:r>
      <w:r>
        <w:rPr>
          <w:rFonts w:hint="eastAsia" w:ascii="仿宋_GB2312" w:hAnsi="宋体" w:eastAsia="仿宋_GB2312" w:cs="宋体"/>
          <w:color w:val="auto"/>
          <w:kern w:val="0"/>
          <w:sz w:val="32"/>
          <w:szCs w:val="32"/>
          <w:highlight w:val="none"/>
        </w:rPr>
        <w:t>建立健全了各项财务管理制度，主要包括《管理制度汇编》和《财务工作手册》。《管理制度汇编》和《财务工作手册》对资金支付、绩效管理、项目评审、预算决算、大额资金、会议费管理、财务报销管理、捐赠款物管理、财会人员岗位职责、财务票据管理等事项进行了详细规定</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并根据市财政局、市税务局、市统计局及国家相关政策调整情况及时进行修订和更新。</w:t>
      </w: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2.资金使用合规性和安全性</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40" w:firstLineChars="200"/>
        <w:jc w:val="both"/>
        <w:textAlignment w:val="auto"/>
        <w:rPr>
          <w:rFonts w:ascii="仿宋_GB2312" w:hAnsi="华文仿宋" w:eastAsia="仿宋_GB2312"/>
          <w:color w:val="auto"/>
          <w:sz w:val="32"/>
          <w:szCs w:val="32"/>
          <w:highlight w:val="none"/>
        </w:rPr>
      </w:pPr>
      <w:r>
        <w:rPr>
          <w:rFonts w:hint="eastAsia" w:ascii="仿宋_GB2312" w:hAnsi="宋体" w:eastAsia="仿宋_GB2312" w:cs="宋体"/>
          <w:color w:val="auto"/>
          <w:kern w:val="0"/>
          <w:sz w:val="32"/>
          <w:szCs w:val="32"/>
          <w:highlight w:val="none"/>
        </w:rPr>
        <w:t>为保障资金安全，</w:t>
      </w:r>
      <w:r>
        <w:rPr>
          <w:rFonts w:hint="eastAsia" w:ascii="仿宋_GB2312" w:hAnsi="仿宋" w:eastAsia="仿宋_GB2312"/>
          <w:color w:val="auto"/>
          <w:sz w:val="32"/>
          <w:szCs w:val="32"/>
          <w:highlight w:val="none"/>
        </w:rPr>
        <w:t>市福利中心</w:t>
      </w:r>
      <w:r>
        <w:rPr>
          <w:rFonts w:ascii="仿宋_GB2312" w:hAnsi="华文仿宋" w:eastAsia="仿宋_GB2312"/>
          <w:color w:val="auto"/>
          <w:sz w:val="32"/>
          <w:szCs w:val="32"/>
          <w:highlight w:val="none"/>
        </w:rPr>
        <w:t>建立了财务集成系统，</w:t>
      </w:r>
      <w:r>
        <w:rPr>
          <w:rFonts w:hint="eastAsia" w:ascii="仿宋_GB2312" w:hAnsi="华文仿宋" w:eastAsia="仿宋_GB2312"/>
          <w:color w:val="auto"/>
          <w:sz w:val="32"/>
          <w:szCs w:val="32"/>
          <w:highlight w:val="none"/>
        </w:rPr>
        <w:t>支出均要通过财务集成系统进行审批</w:t>
      </w:r>
      <w:r>
        <w:rPr>
          <w:rFonts w:ascii="仿宋_GB2312" w:hAnsi="华文仿宋" w:eastAsia="仿宋_GB2312"/>
          <w:color w:val="auto"/>
          <w:sz w:val="32"/>
          <w:szCs w:val="32"/>
          <w:highlight w:val="none"/>
        </w:rPr>
        <w:t>。</w:t>
      </w:r>
      <w:r>
        <w:rPr>
          <w:rFonts w:hint="eastAsia" w:ascii="仿宋_GB2312" w:hAnsi="华文仿宋" w:eastAsia="仿宋_GB2312"/>
          <w:color w:val="auto"/>
          <w:sz w:val="32"/>
          <w:szCs w:val="32"/>
          <w:highlight w:val="none"/>
        </w:rPr>
        <w:t>按照归口管理原则，每笔经济业务由各基层单位（处室）申请人提出申请，经过单位（处室）、</w:t>
      </w:r>
      <w:r>
        <w:rPr>
          <w:rFonts w:hint="eastAsia" w:ascii="仿宋_GB2312" w:hAnsi="仿宋" w:eastAsia="仿宋_GB2312"/>
          <w:color w:val="auto"/>
          <w:sz w:val="32"/>
          <w:szCs w:val="32"/>
          <w:highlight w:val="none"/>
        </w:rPr>
        <w:t>市福利中心</w:t>
      </w:r>
      <w:r>
        <w:rPr>
          <w:rFonts w:hint="eastAsia" w:ascii="仿宋_GB2312" w:hAnsi="华文仿宋" w:eastAsia="仿宋_GB2312"/>
          <w:color w:val="auto"/>
          <w:sz w:val="32"/>
          <w:szCs w:val="32"/>
          <w:highlight w:val="none"/>
        </w:rPr>
        <w:t>计财处和</w:t>
      </w:r>
      <w:r>
        <w:rPr>
          <w:rFonts w:hint="eastAsia" w:ascii="仿宋_GB2312" w:hAnsi="仿宋" w:eastAsia="仿宋_GB2312"/>
          <w:color w:val="auto"/>
          <w:sz w:val="32"/>
          <w:szCs w:val="32"/>
          <w:highlight w:val="none"/>
        </w:rPr>
        <w:t>相关领导、</w:t>
      </w:r>
      <w:r>
        <w:rPr>
          <w:rFonts w:hint="eastAsia" w:ascii="仿宋_GB2312" w:hAnsi="华文仿宋" w:eastAsia="仿宋_GB2312"/>
          <w:color w:val="auto"/>
          <w:sz w:val="32"/>
          <w:szCs w:val="32"/>
          <w:highlight w:val="none"/>
        </w:rPr>
        <w:t>委局办公室和相关领导逐级审核、审批，最后再回归申请人，形成审批事项的闭环管理。同时以现有财务一体化为支撑，通过该系统对资金支付实行源头管理，大力推行网银、微信、支付宝收付款和公务卡结算，减少现金、支票的使用，将每一分钱都纳入</w:t>
      </w:r>
      <w:r>
        <w:rPr>
          <w:rFonts w:hint="eastAsia" w:ascii="仿宋_GB2312" w:hAnsi="仿宋" w:eastAsia="仿宋_GB2312"/>
          <w:color w:val="auto"/>
          <w:sz w:val="32"/>
          <w:szCs w:val="32"/>
          <w:highlight w:val="none"/>
          <w:lang w:val="en-US" w:eastAsia="zh-CN"/>
        </w:rPr>
        <w:t>市福利中心</w:t>
      </w:r>
      <w:r>
        <w:rPr>
          <w:rFonts w:hint="eastAsia" w:ascii="仿宋_GB2312" w:hAnsi="华文仿宋" w:eastAsia="仿宋_GB2312"/>
          <w:color w:val="auto"/>
          <w:sz w:val="32"/>
          <w:szCs w:val="32"/>
          <w:highlight w:val="none"/>
        </w:rPr>
        <w:t>监管范围，建立起资金支付全过程监督管理的运行机制，实现资金管理的信息化、规范化，确保预算的总体控制和单位资金运行的安全</w:t>
      </w:r>
      <w:r>
        <w:rPr>
          <w:rFonts w:ascii="仿宋_GB2312" w:hAnsi="华文仿宋" w:eastAsia="仿宋_GB2312"/>
          <w:color w:val="auto"/>
          <w:sz w:val="32"/>
          <w:szCs w:val="32"/>
          <w:highlight w:val="none"/>
        </w:rPr>
        <w:t>性</w:t>
      </w:r>
      <w:r>
        <w:rPr>
          <w:rFonts w:hint="eastAsia" w:ascii="仿宋_GB2312" w:hAnsi="华文仿宋" w:eastAsia="仿宋_GB2312"/>
          <w:color w:val="auto"/>
          <w:sz w:val="32"/>
          <w:szCs w:val="32"/>
          <w:highlight w:val="none"/>
        </w:rPr>
        <w:t>、合规</w:t>
      </w:r>
      <w:r>
        <w:rPr>
          <w:rFonts w:ascii="仿宋_GB2312" w:hAnsi="华文仿宋" w:eastAsia="仿宋_GB2312"/>
          <w:color w:val="auto"/>
          <w:sz w:val="32"/>
          <w:szCs w:val="32"/>
          <w:highlight w:val="none"/>
        </w:rPr>
        <w:t>性</w:t>
      </w:r>
      <w:r>
        <w:rPr>
          <w:rFonts w:hint="eastAsia" w:ascii="仿宋_GB2312" w:hAnsi="华文仿宋" w:eastAsia="仿宋_GB2312"/>
          <w:color w:val="auto"/>
          <w:sz w:val="32"/>
          <w:szCs w:val="32"/>
          <w:highlight w:val="none"/>
        </w:rPr>
        <w:t>和有效</w:t>
      </w:r>
      <w:r>
        <w:rPr>
          <w:rFonts w:ascii="仿宋_GB2312" w:hAnsi="华文仿宋" w:eastAsia="仿宋_GB2312"/>
          <w:color w:val="auto"/>
          <w:sz w:val="32"/>
          <w:szCs w:val="32"/>
          <w:highlight w:val="none"/>
        </w:rPr>
        <w:t>性</w:t>
      </w:r>
      <w:r>
        <w:rPr>
          <w:rFonts w:hint="eastAsia" w:ascii="仿宋_GB2312" w:hAnsi="华文仿宋" w:eastAsia="仿宋_GB2312"/>
          <w:color w:val="auto"/>
          <w:sz w:val="32"/>
          <w:szCs w:val="32"/>
          <w:highlight w:val="none"/>
        </w:rPr>
        <w:t>。</w:t>
      </w: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3.会计基础信息完善性</w:t>
      </w:r>
    </w:p>
    <w:p>
      <w:pPr>
        <w:keepNext w:val="0"/>
        <w:keepLines w:val="0"/>
        <w:pageBreakBefore w:val="0"/>
        <w:widowControl w:val="0"/>
        <w:kinsoku/>
        <w:wordWrap/>
        <w:overflowPunct/>
        <w:topLinePunct w:val="0"/>
        <w:autoSpaceDE/>
        <w:autoSpaceDN/>
        <w:bidi w:val="0"/>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 w:eastAsia="仿宋_GB2312"/>
          <w:color w:val="auto"/>
          <w:sz w:val="32"/>
          <w:szCs w:val="32"/>
          <w:highlight w:val="none"/>
        </w:rPr>
        <w:t>市福利中心</w:t>
      </w:r>
      <w:r>
        <w:rPr>
          <w:rFonts w:hint="eastAsia" w:ascii="仿宋_GB2312" w:hAnsi="宋体" w:eastAsia="仿宋_GB2312" w:cs="宋体"/>
          <w:color w:val="auto"/>
          <w:kern w:val="0"/>
          <w:sz w:val="32"/>
          <w:szCs w:val="32"/>
          <w:highlight w:val="none"/>
        </w:rPr>
        <w:t>根据《会计法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事业单位财务制度</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事业单位财务规则》及其他相关规定，出台了</w:t>
      </w:r>
      <w:r>
        <w:rPr>
          <w:rFonts w:hint="eastAsia" w:ascii="仿宋_GB2312" w:hAnsi="仿宋" w:eastAsia="仿宋_GB2312"/>
          <w:color w:val="auto"/>
          <w:sz w:val="32"/>
          <w:szCs w:val="32"/>
          <w:highlight w:val="none"/>
        </w:rPr>
        <w:t>市福利中心</w:t>
      </w:r>
      <w:r>
        <w:rPr>
          <w:rFonts w:hint="eastAsia" w:ascii="仿宋_GB2312" w:hAnsi="宋体" w:eastAsia="仿宋_GB2312" w:cs="宋体"/>
          <w:color w:val="auto"/>
          <w:kern w:val="0"/>
          <w:sz w:val="32"/>
          <w:szCs w:val="32"/>
          <w:highlight w:val="none"/>
        </w:rPr>
        <w:t>《事业单位会计核算制度</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会计档案管理制度</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财务报告管理制度》等相关财务管理制度，并设置了出纳、会计、稽核等岗位，配备了相应人员；</w:t>
      </w:r>
      <w:r>
        <w:rPr>
          <w:rFonts w:hint="eastAsia" w:ascii="仿宋_GB2312" w:hAnsi="仿宋" w:eastAsia="仿宋_GB2312"/>
          <w:color w:val="auto"/>
          <w:sz w:val="32"/>
          <w:szCs w:val="32"/>
          <w:highlight w:val="none"/>
        </w:rPr>
        <w:t>市福利中心</w:t>
      </w:r>
      <w:r>
        <w:rPr>
          <w:rFonts w:hint="eastAsia" w:ascii="仿宋_GB2312" w:hAnsi="宋体" w:eastAsia="仿宋_GB2312" w:cs="宋体"/>
          <w:color w:val="auto"/>
          <w:kern w:val="0"/>
          <w:sz w:val="32"/>
          <w:szCs w:val="32"/>
          <w:highlight w:val="none"/>
        </w:rPr>
        <w:t>严格按照事业单位相关会计制度进行核算，出具会计报表、报告等等；已实现了</w:t>
      </w:r>
      <w:r>
        <w:rPr>
          <w:rFonts w:ascii="仿宋_GB2312" w:hAnsi="宋体" w:eastAsia="仿宋_GB2312" w:cs="宋体"/>
          <w:color w:val="auto"/>
          <w:kern w:val="0"/>
          <w:sz w:val="32"/>
          <w:szCs w:val="32"/>
          <w:highlight w:val="none"/>
        </w:rPr>
        <w:t>会计档案</w:t>
      </w:r>
      <w:r>
        <w:rPr>
          <w:rFonts w:hint="eastAsia" w:ascii="仿宋_GB2312" w:hAnsi="宋体" w:eastAsia="仿宋_GB2312" w:cs="宋体"/>
          <w:color w:val="auto"/>
          <w:kern w:val="0"/>
          <w:sz w:val="32"/>
          <w:szCs w:val="32"/>
          <w:highlight w:val="none"/>
        </w:rPr>
        <w:t>的电子化管理，确保所有原始资料完整可溯。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13" w:name="_Toc32610"/>
      <w:r>
        <w:rPr>
          <w:rFonts w:hint="eastAsia" w:ascii="楷体_GB2312" w:eastAsia="楷体_GB2312"/>
          <w:color w:val="auto"/>
          <w:sz w:val="32"/>
          <w:szCs w:val="32"/>
          <w:highlight w:val="none"/>
        </w:rPr>
        <w:t>（二）资产管理</w:t>
      </w:r>
      <w:bookmarkEnd w:id="13"/>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eastAsia="仿宋_GB2312"/>
          <w:color w:val="auto"/>
          <w:sz w:val="32"/>
          <w:szCs w:val="32"/>
          <w:highlight w:val="none"/>
        </w:rPr>
      </w:pPr>
      <w:r>
        <w:rPr>
          <w:rFonts w:hint="eastAsia" w:ascii="仿宋_GB2312" w:hAnsi="仿宋" w:eastAsia="仿宋_GB2312"/>
          <w:color w:val="auto"/>
          <w:sz w:val="32"/>
          <w:szCs w:val="32"/>
          <w:highlight w:val="none"/>
        </w:rPr>
        <w:t>市福利中心</w:t>
      </w:r>
      <w:r>
        <w:rPr>
          <w:rFonts w:hint="eastAsia" w:ascii="仿宋_GB2312" w:eastAsia="仿宋_GB2312"/>
          <w:color w:val="auto"/>
          <w:sz w:val="32"/>
          <w:szCs w:val="32"/>
          <w:highlight w:val="none"/>
        </w:rPr>
        <w:t>制定了《北京市社会福利事务管理中心重大财务事项审批管理实施细则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北京市社会福利事务管理中心综合财务管理制度</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北京市社会福利事务管理中心资金支付管理办法</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北京市社会福利事务管理中心国有资产管理办法</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北京市社会福利事务管理中心固定资产管理办法》《北京市社会福利事务管理中心存货管理办法》等各项资产管理制度，并在部门工作中基本得到执行，固定资产出入库手续健全、定期盘点。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2022年末市福利中心资产总额为</w:t>
      </w:r>
      <w:r>
        <w:rPr>
          <w:rFonts w:ascii="仿宋_GB2312" w:eastAsia="仿宋_GB2312"/>
          <w:color w:val="auto"/>
          <w:sz w:val="32"/>
          <w:szCs w:val="32"/>
          <w:highlight w:val="none"/>
        </w:rPr>
        <w:t>386635.98</w:t>
      </w:r>
      <w:r>
        <w:rPr>
          <w:rFonts w:hint="eastAsia" w:ascii="仿宋_GB2312" w:eastAsia="仿宋_GB2312"/>
          <w:color w:val="auto"/>
          <w:sz w:val="32"/>
          <w:szCs w:val="32"/>
          <w:highlight w:val="none"/>
        </w:rPr>
        <w:t>万元。其中：本级资产</w:t>
      </w:r>
      <w:r>
        <w:rPr>
          <w:rFonts w:ascii="仿宋_GB2312" w:eastAsia="仿宋_GB2312"/>
          <w:color w:val="auto"/>
          <w:sz w:val="32"/>
          <w:szCs w:val="32"/>
          <w:highlight w:val="none"/>
        </w:rPr>
        <w:t>29243.61</w:t>
      </w:r>
      <w:r>
        <w:rPr>
          <w:rFonts w:hint="eastAsia" w:ascii="仿宋_GB2312" w:eastAsia="仿宋_GB2312"/>
          <w:color w:val="auto"/>
          <w:sz w:val="32"/>
          <w:szCs w:val="32"/>
          <w:highlight w:val="none"/>
        </w:rPr>
        <w:t>万元，包括流动资产</w:t>
      </w:r>
      <w:r>
        <w:rPr>
          <w:rFonts w:ascii="仿宋_GB2312" w:eastAsia="仿宋_GB2312"/>
          <w:color w:val="auto"/>
          <w:sz w:val="32"/>
          <w:szCs w:val="32"/>
          <w:highlight w:val="none"/>
        </w:rPr>
        <w:t>15864.90</w:t>
      </w:r>
      <w:r>
        <w:rPr>
          <w:rFonts w:hint="eastAsia" w:ascii="仿宋_GB2312" w:eastAsia="仿宋_GB2312"/>
          <w:color w:val="auto"/>
          <w:sz w:val="32"/>
          <w:szCs w:val="32"/>
          <w:highlight w:val="none"/>
        </w:rPr>
        <w:t>万元，固定资产净值</w:t>
      </w:r>
      <w:r>
        <w:rPr>
          <w:rFonts w:ascii="仿宋_GB2312" w:eastAsia="仿宋_GB2312"/>
          <w:color w:val="auto"/>
          <w:sz w:val="32"/>
          <w:szCs w:val="32"/>
          <w:highlight w:val="none"/>
        </w:rPr>
        <w:t>13378.71</w:t>
      </w:r>
      <w:r>
        <w:rPr>
          <w:rFonts w:hint="eastAsia" w:ascii="仿宋_GB2312" w:eastAsia="仿宋_GB2312"/>
          <w:color w:val="auto"/>
          <w:sz w:val="32"/>
          <w:szCs w:val="32"/>
          <w:highlight w:val="none"/>
        </w:rPr>
        <w:t>万元；下属事业单位资产</w:t>
      </w:r>
      <w:r>
        <w:rPr>
          <w:rFonts w:ascii="仿宋_GB2312" w:eastAsia="仿宋_GB2312"/>
          <w:color w:val="auto"/>
          <w:sz w:val="32"/>
          <w:szCs w:val="32"/>
          <w:highlight w:val="none"/>
        </w:rPr>
        <w:t>357392.37</w:t>
      </w:r>
      <w:r>
        <w:rPr>
          <w:rFonts w:hint="eastAsia" w:ascii="仿宋_GB2312" w:eastAsia="仿宋_GB2312"/>
          <w:color w:val="auto"/>
          <w:sz w:val="32"/>
          <w:szCs w:val="32"/>
          <w:highlight w:val="none"/>
        </w:rPr>
        <w:t>万元，包括流动资产</w:t>
      </w:r>
      <w:r>
        <w:rPr>
          <w:rFonts w:ascii="仿宋_GB2312" w:eastAsia="仿宋_GB2312"/>
          <w:color w:val="auto"/>
          <w:sz w:val="32"/>
          <w:szCs w:val="32"/>
          <w:highlight w:val="none"/>
        </w:rPr>
        <w:t>109561.61</w:t>
      </w:r>
      <w:r>
        <w:rPr>
          <w:rFonts w:hint="eastAsia" w:ascii="仿宋_GB2312" w:eastAsia="仿宋_GB2312"/>
          <w:color w:val="auto"/>
          <w:sz w:val="32"/>
          <w:szCs w:val="32"/>
          <w:highlight w:val="none"/>
        </w:rPr>
        <w:t>万元，固定资产净值</w:t>
      </w:r>
      <w:r>
        <w:rPr>
          <w:rFonts w:ascii="仿宋_GB2312" w:eastAsia="仿宋_GB2312"/>
          <w:color w:val="auto"/>
          <w:sz w:val="32"/>
          <w:szCs w:val="32"/>
          <w:highlight w:val="none"/>
        </w:rPr>
        <w:t>136037.31</w:t>
      </w:r>
      <w:r>
        <w:rPr>
          <w:rFonts w:hint="eastAsia" w:ascii="仿宋_GB2312" w:eastAsia="仿宋_GB2312"/>
          <w:color w:val="auto"/>
          <w:sz w:val="32"/>
          <w:szCs w:val="32"/>
          <w:highlight w:val="none"/>
        </w:rPr>
        <w:t>万元，在建工程</w:t>
      </w:r>
      <w:r>
        <w:rPr>
          <w:rFonts w:ascii="仿宋_GB2312" w:eastAsia="仿宋_GB2312"/>
          <w:color w:val="auto"/>
          <w:sz w:val="32"/>
          <w:szCs w:val="32"/>
          <w:highlight w:val="none"/>
        </w:rPr>
        <w:t>93320.14</w:t>
      </w:r>
      <w:r>
        <w:rPr>
          <w:rFonts w:hint="eastAsia" w:ascii="仿宋_GB2312" w:eastAsia="仿宋_GB2312"/>
          <w:color w:val="auto"/>
          <w:sz w:val="32"/>
          <w:szCs w:val="32"/>
          <w:highlight w:val="none"/>
        </w:rPr>
        <w:t>万元，无形资产净值</w:t>
      </w:r>
      <w:r>
        <w:rPr>
          <w:rFonts w:ascii="仿宋_GB2312" w:eastAsia="仿宋_GB2312"/>
          <w:color w:val="auto"/>
          <w:sz w:val="32"/>
          <w:szCs w:val="32"/>
          <w:highlight w:val="none"/>
        </w:rPr>
        <w:t>717.58</w:t>
      </w:r>
      <w:r>
        <w:rPr>
          <w:rFonts w:hint="eastAsia" w:ascii="仿宋_GB2312" w:eastAsia="仿宋_GB2312"/>
          <w:color w:val="auto"/>
          <w:sz w:val="32"/>
          <w:szCs w:val="32"/>
          <w:highlight w:val="none"/>
        </w:rPr>
        <w:t>万元。截至2022年底，</w:t>
      </w:r>
      <w:r>
        <w:rPr>
          <w:rFonts w:hint="eastAsia" w:ascii="仿宋_GB2312" w:hAnsi="仿宋" w:eastAsia="仿宋_GB2312"/>
          <w:color w:val="auto"/>
          <w:sz w:val="32"/>
          <w:szCs w:val="32"/>
          <w:highlight w:val="none"/>
        </w:rPr>
        <w:t>市福利中心</w:t>
      </w:r>
      <w:r>
        <w:rPr>
          <w:rFonts w:hint="eastAsia" w:ascii="仿宋_GB2312" w:eastAsia="仿宋_GB2312"/>
          <w:color w:val="auto"/>
          <w:sz w:val="32"/>
          <w:szCs w:val="32"/>
          <w:highlight w:val="none"/>
        </w:rPr>
        <w:t>共有车辆</w:t>
      </w:r>
      <w:r>
        <w:rPr>
          <w:rFonts w:ascii="仿宋_GB2312" w:eastAsia="仿宋_GB2312"/>
          <w:color w:val="auto"/>
          <w:sz w:val="32"/>
          <w:szCs w:val="32"/>
          <w:highlight w:val="none"/>
        </w:rPr>
        <w:t>166</w:t>
      </w:r>
      <w:r>
        <w:rPr>
          <w:rFonts w:hint="eastAsia" w:ascii="仿宋_GB2312" w:eastAsia="仿宋_GB2312"/>
          <w:color w:val="auto"/>
          <w:sz w:val="32"/>
          <w:szCs w:val="32"/>
          <w:highlight w:val="none"/>
        </w:rPr>
        <w:t>台，共计</w:t>
      </w:r>
      <w:r>
        <w:rPr>
          <w:rFonts w:ascii="仿宋_GB2312" w:eastAsia="仿宋_GB2312"/>
          <w:color w:val="auto"/>
          <w:sz w:val="32"/>
          <w:szCs w:val="32"/>
          <w:highlight w:val="none"/>
        </w:rPr>
        <w:t>5108.11</w:t>
      </w:r>
      <w:r>
        <w:rPr>
          <w:rFonts w:hint="eastAsia" w:ascii="仿宋_GB2312"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14" w:name="_Toc2861"/>
      <w:r>
        <w:rPr>
          <w:rFonts w:hint="eastAsia" w:ascii="楷体_GB2312" w:eastAsia="楷体_GB2312"/>
          <w:color w:val="auto"/>
          <w:sz w:val="32"/>
          <w:szCs w:val="32"/>
          <w:highlight w:val="none"/>
        </w:rPr>
        <w:t>（三）绩效管理</w:t>
      </w:r>
      <w:bookmarkEnd w:id="14"/>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1</w:t>
      </w:r>
      <w:r>
        <w:rPr>
          <w:rFonts w:hint="eastAsia" w:ascii="仿宋_GB2312" w:hAnsi="Calibri" w:eastAsia="仿宋_GB2312"/>
          <w:color w:val="auto"/>
          <w:sz w:val="32"/>
          <w:szCs w:val="32"/>
          <w:highlight w:val="none"/>
          <w:lang w:val="en-US" w:eastAsia="zh-CN"/>
        </w:rPr>
        <w:t>.</w:t>
      </w:r>
      <w:r>
        <w:rPr>
          <w:rFonts w:hint="eastAsia" w:ascii="仿宋_GB2312" w:hAnsi="Calibri" w:eastAsia="仿宋_GB2312"/>
          <w:color w:val="auto"/>
          <w:sz w:val="32"/>
          <w:szCs w:val="32"/>
          <w:highlight w:val="none"/>
        </w:rPr>
        <w:t>加强组织领导</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市福利中心</w:t>
      </w:r>
      <w:r>
        <w:rPr>
          <w:rFonts w:hint="eastAsia" w:ascii="仿宋_GB2312" w:hAnsi="仿宋" w:eastAsia="仿宋_GB2312"/>
          <w:color w:val="auto"/>
          <w:sz w:val="32"/>
          <w:szCs w:val="32"/>
          <w:highlight w:val="none"/>
        </w:rPr>
        <w:t>从2014年起被确定为绩效管理试点部门，预算项目全部实施绩效管理。</w:t>
      </w:r>
      <w:r>
        <w:rPr>
          <w:rFonts w:hint="eastAsia" w:ascii="仿宋_GB2312" w:hAnsi="Calibri" w:eastAsia="仿宋_GB2312"/>
          <w:color w:val="auto"/>
          <w:sz w:val="32"/>
          <w:szCs w:val="32"/>
          <w:highlight w:val="none"/>
        </w:rPr>
        <w:t>为确保年度部门绩效管理工作的顺利开展，市福利中心成立预算绩效工作领导小组，</w:t>
      </w:r>
      <w:r>
        <w:rPr>
          <w:rFonts w:hint="eastAsia" w:ascii="仿宋_GB2312" w:hAnsi="仿宋" w:eastAsia="仿宋_GB2312"/>
          <w:color w:val="auto"/>
          <w:sz w:val="32"/>
          <w:szCs w:val="32"/>
          <w:highlight w:val="none"/>
        </w:rPr>
        <w:t>协调各业务处室及下属单位的绩效管理工作，并根据部门工作职责，将部门年度绩效目标分解到</w:t>
      </w:r>
      <w:r>
        <w:rPr>
          <w:rFonts w:hint="eastAsia" w:ascii="仿宋_GB2312" w:hAnsi="仿宋" w:eastAsia="仿宋_GB2312"/>
          <w:color w:val="auto"/>
          <w:sz w:val="32"/>
          <w:szCs w:val="32"/>
          <w:highlight w:val="none"/>
          <w:lang w:val="en-US" w:eastAsia="zh-CN"/>
        </w:rPr>
        <w:t>市</w:t>
      </w:r>
      <w:r>
        <w:rPr>
          <w:rFonts w:hint="eastAsia" w:ascii="仿宋_GB2312" w:hAnsi="仿宋" w:eastAsia="仿宋_GB2312"/>
          <w:color w:val="auto"/>
          <w:sz w:val="32"/>
          <w:szCs w:val="32"/>
          <w:highlight w:val="none"/>
        </w:rPr>
        <w:t>福利中心本级及下属16个预算单位，并指定专人负责绩效管理工作。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Calibri" w:eastAsia="仿宋_GB2312"/>
          <w:color w:val="auto"/>
          <w:sz w:val="32"/>
          <w:szCs w:val="32"/>
          <w:highlight w:val="none"/>
        </w:rPr>
      </w:pPr>
      <w:r>
        <w:rPr>
          <w:rFonts w:hint="eastAsia" w:ascii="仿宋_GB2312" w:eastAsia="仿宋_GB2312"/>
          <w:color w:val="auto"/>
          <w:sz w:val="32"/>
          <w:szCs w:val="32"/>
          <w:highlight w:val="none"/>
        </w:rPr>
        <w:t>由</w:t>
      </w:r>
      <w:r>
        <w:rPr>
          <w:rFonts w:hint="eastAsia" w:ascii="仿宋_GB2312" w:hAnsi="仿宋" w:eastAsia="仿宋_GB2312"/>
          <w:color w:val="auto"/>
          <w:sz w:val="32"/>
          <w:szCs w:val="32"/>
          <w:highlight w:val="none"/>
        </w:rPr>
        <w:t>市福利中心</w:t>
      </w:r>
      <w:r>
        <w:rPr>
          <w:rFonts w:hint="eastAsia" w:ascii="仿宋_GB2312" w:eastAsia="仿宋_GB2312"/>
          <w:color w:val="auto"/>
          <w:sz w:val="32"/>
          <w:szCs w:val="32"/>
          <w:highlight w:val="none"/>
        </w:rPr>
        <w:t>计财处与</w:t>
      </w:r>
      <w:r>
        <w:rPr>
          <w:rFonts w:hint="eastAsia" w:ascii="仿宋_GB2312" w:hAnsi="Calibri" w:eastAsia="仿宋_GB2312"/>
          <w:color w:val="auto"/>
          <w:sz w:val="32"/>
          <w:szCs w:val="32"/>
          <w:highlight w:val="none"/>
        </w:rPr>
        <w:t>第三方机构共同组成了绩效工作组，负责绩效工作的日常管理和过程监督，并定期向领导小组汇报工作开展情况，领导小组听取汇报后，讨论解决工作过程中发现的重大问题，为全年度绩效管理工作提供了有力的组织保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2</w:t>
      </w:r>
      <w:r>
        <w:rPr>
          <w:rFonts w:hint="eastAsia" w:ascii="仿宋_GB2312" w:hAnsi="Calibri" w:eastAsia="仿宋_GB2312"/>
          <w:color w:val="auto"/>
          <w:sz w:val="32"/>
          <w:szCs w:val="32"/>
          <w:highlight w:val="none"/>
          <w:lang w:eastAsia="zh-CN"/>
        </w:rPr>
        <w:t>.</w:t>
      </w:r>
      <w:r>
        <w:rPr>
          <w:rFonts w:hint="eastAsia" w:ascii="仿宋_GB2312" w:hAnsi="Calibri" w:eastAsia="仿宋_GB2312"/>
          <w:color w:val="auto"/>
          <w:sz w:val="32"/>
          <w:szCs w:val="32"/>
          <w:highlight w:val="none"/>
        </w:rPr>
        <w:t>加强组织培训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市福利中心聘请第三方中介机构对有需求的</w:t>
      </w:r>
      <w:r>
        <w:rPr>
          <w:rFonts w:hint="eastAsia" w:ascii="仿宋_GB2312" w:hAnsi="仿宋" w:eastAsia="仿宋_GB2312"/>
          <w:color w:val="auto"/>
          <w:sz w:val="32"/>
          <w:szCs w:val="32"/>
          <w:highlight w:val="none"/>
        </w:rPr>
        <w:t>市福利中心</w:t>
      </w:r>
      <w:r>
        <w:rPr>
          <w:rFonts w:hint="eastAsia" w:ascii="仿宋_GB2312" w:hAnsi="宋体" w:eastAsia="仿宋_GB2312"/>
          <w:color w:val="auto"/>
          <w:sz w:val="32"/>
          <w:szCs w:val="32"/>
          <w:highlight w:val="none"/>
        </w:rPr>
        <w:t>下属各单位开展</w:t>
      </w:r>
      <w:r>
        <w:rPr>
          <w:rFonts w:hint="eastAsia" w:ascii="仿宋_GB2312" w:hAnsi="Calibri" w:eastAsia="仿宋_GB2312"/>
          <w:color w:val="auto"/>
          <w:sz w:val="32"/>
          <w:szCs w:val="32"/>
          <w:highlight w:val="none"/>
        </w:rPr>
        <w:t>预算绩效管理工作培训，详细了解绩效管理工作的目的、意义、工作流程及相关要求，进一步增强了各单位对绩效管理工作的认识，强化了绩效自觉意识。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3</w:t>
      </w:r>
      <w:r>
        <w:rPr>
          <w:rFonts w:hint="eastAsia" w:ascii="仿宋_GB2312" w:hAnsi="Calibri" w:eastAsia="仿宋_GB2312"/>
          <w:color w:val="auto"/>
          <w:sz w:val="32"/>
          <w:szCs w:val="32"/>
          <w:highlight w:val="none"/>
          <w:lang w:eastAsia="zh-CN"/>
        </w:rPr>
        <w:t>.</w:t>
      </w:r>
      <w:r>
        <w:rPr>
          <w:rFonts w:hint="eastAsia" w:ascii="仿宋_GB2312" w:hAnsi="Calibri" w:eastAsia="仿宋_GB2312"/>
          <w:color w:val="auto"/>
          <w:sz w:val="32"/>
          <w:szCs w:val="32"/>
          <w:highlight w:val="none"/>
        </w:rPr>
        <w:t>强化过程监督</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为保证绩效管理</w:t>
      </w:r>
      <w:r>
        <w:rPr>
          <w:rFonts w:hint="eastAsia" w:ascii="仿宋_GB2312" w:hAnsi="Calibri" w:eastAsia="仿宋_GB2312"/>
          <w:color w:val="auto"/>
          <w:sz w:val="32"/>
          <w:szCs w:val="32"/>
          <w:highlight w:val="none"/>
          <w:lang w:eastAsia="zh-CN"/>
        </w:rPr>
        <w:t>工作</w:t>
      </w:r>
      <w:r>
        <w:rPr>
          <w:rFonts w:hint="eastAsia" w:ascii="仿宋_GB2312" w:hAnsi="Calibri" w:eastAsia="仿宋_GB2312"/>
          <w:color w:val="auto"/>
          <w:sz w:val="32"/>
          <w:szCs w:val="32"/>
          <w:highlight w:val="none"/>
          <w:lang w:val="en-US" w:eastAsia="zh-CN"/>
        </w:rPr>
        <w:t>的</w:t>
      </w:r>
      <w:r>
        <w:rPr>
          <w:rFonts w:hint="eastAsia" w:ascii="仿宋_GB2312" w:hAnsi="Calibri" w:eastAsia="仿宋_GB2312"/>
          <w:color w:val="auto"/>
          <w:sz w:val="32"/>
          <w:szCs w:val="32"/>
          <w:highlight w:val="none"/>
          <w:lang w:eastAsia="zh-CN"/>
        </w:rPr>
        <w:t>有序</w:t>
      </w:r>
      <w:r>
        <w:rPr>
          <w:rFonts w:hint="eastAsia" w:ascii="仿宋_GB2312" w:hAnsi="Calibri" w:eastAsia="仿宋_GB2312"/>
          <w:color w:val="auto"/>
          <w:sz w:val="32"/>
          <w:szCs w:val="32"/>
          <w:highlight w:val="none"/>
        </w:rPr>
        <w:t>开展，市福利中心通过事前绩效评估、事中绩效监控、事后绩效评价等手段，确保绩效管理贯穿项目实施的全过程。</w:t>
      </w:r>
      <w:r>
        <w:rPr>
          <w:rFonts w:hint="eastAsia" w:ascii="仿宋_GB2312" w:hAnsi="仿宋" w:eastAsia="仿宋_GB2312"/>
          <w:color w:val="auto"/>
          <w:sz w:val="32"/>
          <w:szCs w:val="32"/>
          <w:highlight w:val="none"/>
        </w:rPr>
        <w:t>各业务处室及下属单位根据部门绩效目标分解任务，定期对照检查本处室单位绩效管理工作进展情况，较好地实现了部门各项绩效目标。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15" w:name="_Toc30614"/>
      <w:r>
        <w:rPr>
          <w:rFonts w:hint="eastAsia" w:ascii="楷体_GB2312" w:eastAsia="楷体_GB2312"/>
          <w:color w:val="auto"/>
          <w:sz w:val="32"/>
          <w:szCs w:val="32"/>
          <w:highlight w:val="none"/>
        </w:rPr>
        <w:t>（四</w:t>
      </w:r>
      <w:r>
        <w:rPr>
          <w:rFonts w:hint="eastAsia" w:ascii="楷体_GB2312" w:eastAsia="楷体_GB2312"/>
          <w:color w:val="auto"/>
          <w:sz w:val="32"/>
          <w:szCs w:val="32"/>
          <w:highlight w:val="none"/>
          <w:lang w:eastAsia="zh-CN"/>
        </w:rPr>
        <w:t>）</w:t>
      </w:r>
      <w:r>
        <w:rPr>
          <w:rFonts w:hint="eastAsia" w:ascii="楷体_GB2312" w:eastAsia="楷体_GB2312"/>
          <w:color w:val="auto"/>
          <w:sz w:val="32"/>
          <w:szCs w:val="32"/>
          <w:highlight w:val="none"/>
        </w:rPr>
        <w:t>结转结余率</w:t>
      </w:r>
      <w:bookmarkEnd w:id="15"/>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市福利中心2022年末财政拨款结转和结余金额为</w:t>
      </w:r>
      <w:r>
        <w:rPr>
          <w:rFonts w:ascii="仿宋_GB2312" w:eastAsia="仿宋_GB2312"/>
          <w:color w:val="auto"/>
          <w:sz w:val="32"/>
          <w:szCs w:val="32"/>
          <w:highlight w:val="none"/>
        </w:rPr>
        <w:t>12491.82</w:t>
      </w:r>
      <w:r>
        <w:rPr>
          <w:rFonts w:hint="eastAsia" w:ascii="仿宋_GB2312" w:eastAsia="仿宋_GB2312"/>
          <w:color w:val="auto"/>
          <w:sz w:val="32"/>
          <w:szCs w:val="32"/>
          <w:highlight w:val="none"/>
        </w:rPr>
        <w:t>万元，其中：</w:t>
      </w:r>
      <w:r>
        <w:rPr>
          <w:rFonts w:hint="eastAsia" w:ascii="仿宋_GB2312" w:hAnsi="仿宋" w:eastAsia="仿宋_GB2312"/>
          <w:color w:val="auto"/>
          <w:sz w:val="32"/>
          <w:szCs w:val="32"/>
          <w:highlight w:val="none"/>
        </w:rPr>
        <w:t>一般公共预算财政拨款</w:t>
      </w:r>
      <w:r>
        <w:rPr>
          <w:rFonts w:ascii="仿宋_GB2312" w:hAnsi="仿宋" w:eastAsia="仿宋_GB2312"/>
          <w:color w:val="auto"/>
          <w:sz w:val="32"/>
          <w:szCs w:val="32"/>
          <w:highlight w:val="none"/>
        </w:rPr>
        <w:t>12466.32</w:t>
      </w:r>
      <w:r>
        <w:rPr>
          <w:rFonts w:hint="eastAsia" w:ascii="仿宋_GB2312" w:hAnsi="仿宋" w:eastAsia="仿宋_GB2312"/>
          <w:color w:val="auto"/>
          <w:sz w:val="32"/>
          <w:szCs w:val="32"/>
          <w:highlight w:val="none"/>
        </w:rPr>
        <w:t>万元，政府性基金预算财政拨款25.50万元</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年末结转结余金额占当年度收入总额的</w:t>
      </w:r>
      <w:r>
        <w:rPr>
          <w:rFonts w:ascii="仿宋_GB2312" w:hAnsi="仿宋" w:eastAsia="仿宋_GB2312"/>
          <w:color w:val="auto"/>
          <w:sz w:val="32"/>
          <w:szCs w:val="32"/>
          <w:highlight w:val="none"/>
        </w:rPr>
        <w:t>13.33</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财政拨款结转结余主要为未执行完的财政拨款及2022年中及年末追加调整项目经费，此部分追加经费已在2023年4月底前执行完毕。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1"/>
        <w:rPr>
          <w:rFonts w:hint="eastAsia" w:ascii="楷体_GB2312" w:eastAsia="楷体_GB2312"/>
          <w:color w:val="auto"/>
          <w:sz w:val="32"/>
          <w:szCs w:val="32"/>
          <w:highlight w:val="none"/>
        </w:rPr>
      </w:pPr>
      <w:bookmarkStart w:id="16" w:name="_Toc21737"/>
      <w:r>
        <w:rPr>
          <w:rFonts w:hint="eastAsia" w:ascii="楷体_GB2312" w:eastAsia="楷体_GB2312"/>
          <w:color w:val="auto"/>
          <w:sz w:val="32"/>
          <w:szCs w:val="32"/>
          <w:highlight w:val="none"/>
        </w:rPr>
        <w:t>（五）部门预决算差异率</w:t>
      </w:r>
      <w:bookmarkEnd w:id="16"/>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市福利中心202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年度</w:t>
      </w:r>
      <w:r>
        <w:rPr>
          <w:rFonts w:hint="eastAsia" w:ascii="仿宋_GB2312" w:hAnsi="仿宋" w:eastAsia="仿宋_GB2312"/>
          <w:color w:val="auto"/>
          <w:sz w:val="32"/>
          <w:szCs w:val="32"/>
          <w:highlight w:val="none"/>
        </w:rPr>
        <w:t xml:space="preserve">预、决算金额及差异情况详见下表：                                 </w:t>
      </w:r>
    </w:p>
    <w:p>
      <w:pPr>
        <w:spacing w:line="360" w:lineRule="auto"/>
        <w:ind w:firstLine="640" w:firstLineChars="200"/>
        <w:jc w:val="right"/>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  </w:t>
      </w:r>
      <w:r>
        <w:rPr>
          <w:rFonts w:hint="eastAsia" w:ascii="仿宋_GB2312" w:hAnsi="宋体" w:eastAsia="仿宋_GB2312" w:cs="宋体"/>
          <w:color w:val="auto"/>
          <w:kern w:val="0"/>
          <w:sz w:val="24"/>
          <w:highlight w:val="none"/>
        </w:rPr>
        <w:t>单位：万元</w:t>
      </w:r>
    </w:p>
    <w:tbl>
      <w:tblPr>
        <w:tblStyle w:val="10"/>
        <w:tblW w:w="11031" w:type="dxa"/>
        <w:tblInd w:w="-1202" w:type="dxa"/>
        <w:tblLayout w:type="fixed"/>
        <w:tblCellMar>
          <w:top w:w="0" w:type="dxa"/>
          <w:left w:w="108" w:type="dxa"/>
          <w:bottom w:w="0" w:type="dxa"/>
          <w:right w:w="108" w:type="dxa"/>
        </w:tblCellMar>
      </w:tblPr>
      <w:tblGrid>
        <w:gridCol w:w="3589"/>
        <w:gridCol w:w="2144"/>
        <w:gridCol w:w="2188"/>
        <w:gridCol w:w="1901"/>
        <w:gridCol w:w="1209"/>
      </w:tblGrid>
      <w:tr>
        <w:tblPrEx>
          <w:tblCellMar>
            <w:top w:w="0" w:type="dxa"/>
            <w:left w:w="108" w:type="dxa"/>
            <w:bottom w:w="0" w:type="dxa"/>
            <w:right w:w="108" w:type="dxa"/>
          </w:tblCellMar>
        </w:tblPrEx>
        <w:trPr>
          <w:trHeight w:val="567" w:hRule="atLeast"/>
        </w:trPr>
        <w:tc>
          <w:tcPr>
            <w:tcW w:w="3589"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指    标</w:t>
            </w:r>
          </w:p>
        </w:tc>
        <w:tc>
          <w:tcPr>
            <w:tcW w:w="2144"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年初预算批复</w:t>
            </w:r>
          </w:p>
        </w:tc>
        <w:tc>
          <w:tcPr>
            <w:tcW w:w="2188"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决算数</w:t>
            </w:r>
          </w:p>
        </w:tc>
        <w:tc>
          <w:tcPr>
            <w:tcW w:w="1901"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比预算数增减</w:t>
            </w:r>
          </w:p>
        </w:tc>
        <w:tc>
          <w:tcPr>
            <w:tcW w:w="1209"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增减％</w:t>
            </w:r>
          </w:p>
        </w:tc>
      </w:tr>
      <w:tr>
        <w:tblPrEx>
          <w:tblCellMar>
            <w:top w:w="0" w:type="dxa"/>
            <w:left w:w="108" w:type="dxa"/>
            <w:bottom w:w="0" w:type="dxa"/>
            <w:right w:w="108" w:type="dxa"/>
          </w:tblCellMar>
        </w:tblPrEx>
        <w:trPr>
          <w:trHeight w:val="567" w:hRule="atLeast"/>
        </w:trPr>
        <w:tc>
          <w:tcPr>
            <w:tcW w:w="3589"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p>
        </w:tc>
        <w:tc>
          <w:tcPr>
            <w:tcW w:w="2144"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p>
        </w:tc>
        <w:tc>
          <w:tcPr>
            <w:tcW w:w="2188"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p>
        </w:tc>
        <w:tc>
          <w:tcPr>
            <w:tcW w:w="1901"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p>
        </w:tc>
        <w:tc>
          <w:tcPr>
            <w:tcW w:w="1209"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1.本年收入</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1,517,922,979.11</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1,695,112,437.07</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177,189,457.96</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11.67%</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其中：一般公共预算财政拨款</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769,305,129.42</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936,670,299.87</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167,365,170.45</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21.76%</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政府性基金预算财政拨款</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235,000.00</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235,000.00</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0.00</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0.00%</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事业收入</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119,731,686.36</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126,877,850.66</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7,146,164.30</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5.97%</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事业单位经营收入</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538,954,252.02</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547,199,211.77</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8,244,959.75</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1.53%</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其他收入</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13,576,911.31</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51,130,074.77</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37,553,163.46</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276.60%</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2.本年支出</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1,573,751,998.21</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1,563,499,401.66</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-10,252,596.55</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-0.65%</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其中：基本支出</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669,527,082.54</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636,804,843.69</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-32,722,238.85</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-4.89%</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（1）人员经费</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492,305,326.08</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486,868,475.20</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-5,436,850.88</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-1.10%</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（2）日常公用经费</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177,221,756.46</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149,936,368.49</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-27,285,387.97</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-15.40%</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项目支出</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408,556,190.15</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353,960,400.94</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-54,595,789.21</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-13.36%</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其中：基本建设类项目</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1,000,000.00</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0.00</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-1,000,000.00</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-100.00%</w:t>
            </w:r>
          </w:p>
        </w:tc>
      </w:tr>
      <w:tr>
        <w:tblPrEx>
          <w:tblCellMar>
            <w:top w:w="0" w:type="dxa"/>
            <w:left w:w="108" w:type="dxa"/>
            <w:bottom w:w="0" w:type="dxa"/>
            <w:right w:w="108" w:type="dxa"/>
          </w:tblCellMar>
        </w:tblPrEx>
        <w:trPr>
          <w:trHeight w:val="567" w:hRule="atLeast"/>
        </w:trPr>
        <w:tc>
          <w:tcPr>
            <w:tcW w:w="3589"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事业单位经营支出</w:t>
            </w:r>
          </w:p>
        </w:tc>
        <w:tc>
          <w:tcPr>
            <w:tcW w:w="2144"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453,378,725.52</w:t>
            </w:r>
          </w:p>
        </w:tc>
        <w:tc>
          <w:tcPr>
            <w:tcW w:w="2188"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553,077,492.40</w:t>
            </w:r>
          </w:p>
        </w:tc>
        <w:tc>
          <w:tcPr>
            <w:tcW w:w="1901"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99,698,766.88</w:t>
            </w:r>
          </w:p>
        </w:tc>
        <w:tc>
          <w:tcPr>
            <w:tcW w:w="1209" w:type="dxa"/>
            <w:tcBorders>
              <w:top w:val="nil"/>
              <w:left w:val="nil"/>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21.99%</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b w:val="0"/>
          <w:bCs w:val="0"/>
          <w:color w:val="auto"/>
          <w:sz w:val="32"/>
          <w:szCs w:val="32"/>
          <w:highlight w:val="none"/>
        </w:rPr>
      </w:pPr>
      <w:r>
        <w:rPr>
          <w:rFonts w:hint="eastAsia" w:ascii="仿宋_GB2312" w:eastAsia="仿宋_GB2312"/>
          <w:b w:val="0"/>
          <w:bCs w:val="0"/>
          <w:color w:val="auto"/>
          <w:sz w:val="32"/>
          <w:szCs w:val="32"/>
          <w:highlight w:val="none"/>
        </w:rPr>
        <w:t>2</w:t>
      </w:r>
      <w:r>
        <w:rPr>
          <w:rFonts w:hint="eastAsia" w:ascii="仿宋_GB2312" w:eastAsia="仿宋_GB2312"/>
          <w:b w:val="0"/>
          <w:bCs w:val="0"/>
          <w:color w:val="auto"/>
          <w:sz w:val="32"/>
          <w:szCs w:val="32"/>
          <w:highlight w:val="none"/>
          <w:lang w:val="en-US" w:eastAsia="zh-CN"/>
        </w:rPr>
        <w:t>.</w:t>
      </w:r>
      <w:r>
        <w:rPr>
          <w:rFonts w:hint="eastAsia" w:ascii="仿宋_GB2312" w:eastAsia="仿宋_GB2312"/>
          <w:b w:val="0"/>
          <w:bCs w:val="0"/>
          <w:color w:val="auto"/>
          <w:sz w:val="32"/>
          <w:szCs w:val="32"/>
          <w:highlight w:val="none"/>
        </w:rPr>
        <w:t>差异原因分析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eastAsia="仿宋_GB2312"/>
          <w:b w:val="0"/>
          <w:bCs w:val="0"/>
          <w:color w:val="auto"/>
          <w:sz w:val="32"/>
          <w:szCs w:val="32"/>
          <w:highlight w:val="none"/>
        </w:rPr>
      </w:pPr>
      <w:r>
        <w:rPr>
          <w:rFonts w:hint="eastAsia" w:ascii="仿宋_GB2312" w:eastAsia="仿宋_GB2312"/>
          <w:b w:val="0"/>
          <w:bCs w:val="0"/>
          <w:color w:val="auto"/>
          <w:sz w:val="32"/>
          <w:szCs w:val="32"/>
          <w:highlight w:val="none"/>
        </w:rPr>
        <w:t>其他收入差异较大原因为决算数中含殡葬单位经营结余数；基本建设类项目为</w:t>
      </w:r>
      <w:r>
        <w:rPr>
          <w:rFonts w:hint="eastAsia" w:ascii="仿宋_GB2312" w:eastAsia="仿宋_GB2312"/>
          <w:b w:val="0"/>
          <w:bCs w:val="0"/>
          <w:color w:val="auto"/>
          <w:sz w:val="32"/>
          <w:szCs w:val="32"/>
          <w:highlight w:val="none"/>
          <w:lang w:val="en-US" w:eastAsia="zh-CN"/>
        </w:rPr>
        <w:t>康复</w:t>
      </w:r>
      <w:r>
        <w:rPr>
          <w:rFonts w:hint="eastAsia" w:ascii="仿宋_GB2312" w:eastAsia="仿宋_GB2312"/>
          <w:b w:val="0"/>
          <w:bCs w:val="0"/>
          <w:color w:val="auto"/>
          <w:sz w:val="32"/>
          <w:szCs w:val="32"/>
          <w:highlight w:val="none"/>
        </w:rPr>
        <w:t>辅具</w:t>
      </w:r>
      <w:r>
        <w:rPr>
          <w:rFonts w:hint="eastAsia" w:ascii="仿宋_GB2312" w:eastAsia="仿宋_GB2312"/>
          <w:b w:val="0"/>
          <w:bCs w:val="0"/>
          <w:color w:val="auto"/>
          <w:sz w:val="32"/>
          <w:szCs w:val="32"/>
          <w:highlight w:val="none"/>
          <w:lang w:val="en-US" w:eastAsia="zh-CN"/>
        </w:rPr>
        <w:t>技术</w:t>
      </w:r>
      <w:r>
        <w:rPr>
          <w:rFonts w:hint="eastAsia" w:ascii="仿宋_GB2312" w:eastAsia="仿宋_GB2312"/>
          <w:b w:val="0"/>
          <w:bCs w:val="0"/>
          <w:color w:val="auto"/>
          <w:sz w:val="32"/>
          <w:szCs w:val="32"/>
          <w:highlight w:val="none"/>
        </w:rPr>
        <w:t>中心</w:t>
      </w:r>
      <w:r>
        <w:rPr>
          <w:rFonts w:hint="eastAsia" w:ascii="仿宋_GB2312" w:hAnsi="仿宋_GB2312" w:eastAsia="仿宋_GB2312" w:cs="仿宋_GB2312"/>
          <w:b w:val="0"/>
          <w:bCs w:val="0"/>
          <w:color w:val="auto"/>
          <w:sz w:val="32"/>
          <w:szCs w:val="32"/>
          <w:highlight w:val="none"/>
        </w:rPr>
        <w:t>办公楼外立面项目，因保障二十大召开安全稳定，开工证无法审批</w:t>
      </w:r>
      <w:bookmarkStart w:id="22" w:name="_GoBack"/>
      <w:bookmarkEnd w:id="22"/>
      <w:r>
        <w:rPr>
          <w:rFonts w:hint="eastAsia" w:ascii="仿宋_GB2312" w:hAnsi="仿宋_GB2312" w:eastAsia="仿宋_GB2312" w:cs="仿宋_GB2312"/>
          <w:b w:val="0"/>
          <w:bCs w:val="0"/>
          <w:color w:val="auto"/>
          <w:sz w:val="32"/>
          <w:szCs w:val="32"/>
          <w:highlight w:val="none"/>
        </w:rPr>
        <w:t>，另存在安全隐患问题及疫情、雨季汛期原因，未完成施工。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0"/>
        <w:rPr>
          <w:rFonts w:ascii="黑体" w:hAnsi="黑体" w:eastAsia="黑体" w:cs="宋体"/>
          <w:b w:val="0"/>
          <w:bCs w:val="0"/>
          <w:color w:val="auto"/>
          <w:kern w:val="0"/>
          <w:sz w:val="32"/>
          <w:szCs w:val="32"/>
          <w:highlight w:val="none"/>
        </w:rPr>
      </w:pPr>
      <w:bookmarkStart w:id="17" w:name="_Toc8059"/>
      <w:r>
        <w:rPr>
          <w:rFonts w:hint="eastAsia" w:ascii="黑体" w:hAnsi="黑体" w:eastAsia="黑体" w:cs="宋体"/>
          <w:b w:val="0"/>
          <w:bCs w:val="0"/>
          <w:color w:val="auto"/>
          <w:kern w:val="0"/>
          <w:sz w:val="32"/>
          <w:szCs w:val="32"/>
          <w:highlight w:val="none"/>
        </w:rPr>
        <w:t>五、总体评价结论</w:t>
      </w:r>
      <w:bookmarkEnd w:id="17"/>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1"/>
        <w:rPr>
          <w:rFonts w:hint="eastAsia" w:ascii="楷体_GB2312" w:eastAsia="楷体_GB2312"/>
          <w:b w:val="0"/>
          <w:bCs w:val="0"/>
          <w:color w:val="auto"/>
          <w:sz w:val="32"/>
          <w:szCs w:val="32"/>
          <w:highlight w:val="none"/>
        </w:rPr>
      </w:pPr>
      <w:bookmarkStart w:id="18" w:name="_Toc31128"/>
      <w:r>
        <w:rPr>
          <w:rFonts w:hint="eastAsia" w:ascii="楷体_GB2312" w:eastAsia="楷体_GB2312"/>
          <w:b w:val="0"/>
          <w:bCs w:val="0"/>
          <w:color w:val="auto"/>
          <w:sz w:val="32"/>
          <w:szCs w:val="32"/>
          <w:highlight w:val="none"/>
        </w:rPr>
        <w:t>（一）评价得分情况</w:t>
      </w:r>
      <w:bookmarkEnd w:id="18"/>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ascii="仿宋_GB2312" w:eastAsia="仿宋_GB2312"/>
          <w:b w:val="0"/>
          <w:bCs w:val="0"/>
          <w:color w:val="auto"/>
          <w:sz w:val="32"/>
          <w:szCs w:val="32"/>
          <w:highlight w:val="none"/>
        </w:rPr>
      </w:pPr>
      <w:r>
        <w:rPr>
          <w:rFonts w:hint="eastAsia" w:ascii="仿宋_GB2312" w:eastAsia="仿宋_GB2312"/>
          <w:b w:val="0"/>
          <w:bCs w:val="0"/>
          <w:color w:val="auto"/>
          <w:sz w:val="32"/>
          <w:szCs w:val="32"/>
          <w:highlight w:val="none"/>
        </w:rPr>
        <w:t>经绩效评价：市福利中心2022年度选取了下属单位北京市儿童福利院的“政府供养保障对象生活费”项目开展部门重点绩效评价工作，并出具了《项目支出绩效评价报告》，部门重点项目绩效评价评定为“优”，部门整体绩效评价评定为“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1"/>
        <w:rPr>
          <w:rFonts w:hint="eastAsia" w:ascii="楷体_GB2312" w:eastAsia="楷体_GB2312"/>
          <w:b w:val="0"/>
          <w:bCs w:val="0"/>
          <w:color w:val="auto"/>
          <w:sz w:val="32"/>
          <w:szCs w:val="32"/>
          <w:highlight w:val="none"/>
        </w:rPr>
      </w:pPr>
      <w:bookmarkStart w:id="19" w:name="_Toc22904"/>
      <w:r>
        <w:rPr>
          <w:rFonts w:hint="eastAsia" w:ascii="楷体_GB2312" w:eastAsia="楷体_GB2312"/>
          <w:b w:val="0"/>
          <w:bCs w:val="0"/>
          <w:color w:val="auto"/>
          <w:sz w:val="32"/>
          <w:szCs w:val="32"/>
          <w:highlight w:val="none"/>
        </w:rPr>
        <w:t>（二）存在的问题及原因分析</w:t>
      </w:r>
      <w:bookmarkEnd w:id="19"/>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1</w:t>
      </w:r>
      <w:r>
        <w:rPr>
          <w:rFonts w:hint="eastAsia" w:ascii="仿宋_GB2312" w:hAnsi="仿宋" w:eastAsia="仿宋_GB2312"/>
          <w:b w:val="0"/>
          <w:bCs w:val="0"/>
          <w:color w:val="auto"/>
          <w:sz w:val="32"/>
          <w:szCs w:val="32"/>
          <w:highlight w:val="none"/>
          <w:lang w:eastAsia="zh-CN"/>
        </w:rPr>
        <w:t>.</w:t>
      </w:r>
      <w:r>
        <w:rPr>
          <w:rFonts w:hint="eastAsia" w:ascii="仿宋_GB2312" w:hAnsi="仿宋" w:eastAsia="仿宋_GB2312"/>
          <w:b w:val="0"/>
          <w:bCs w:val="0"/>
          <w:color w:val="auto"/>
          <w:sz w:val="32"/>
          <w:szCs w:val="32"/>
          <w:highlight w:val="none"/>
        </w:rPr>
        <w:t>干部人才队伍建设尚有差距。由于工作环境特殊、工资总额限制、专业发展平台有限、职业上升空间不足，加之长时间封闭管理等因素，各单位普遍存在人才引进难、留不住的两难现象，福利机构医护专业技术人才匮乏问题尤为严重，</w:t>
      </w:r>
      <w:r>
        <w:rPr>
          <w:rFonts w:hint="eastAsia" w:ascii="仿宋_GB2312" w:hAnsi="仿宋" w:eastAsia="仿宋_GB2312"/>
          <w:b w:val="0"/>
          <w:bCs w:val="0"/>
          <w:color w:val="auto"/>
          <w:sz w:val="32"/>
          <w:szCs w:val="32"/>
          <w:highlight w:val="none"/>
          <w:lang w:val="en-US" w:eastAsia="zh-CN"/>
        </w:rPr>
        <w:t>社会</w:t>
      </w:r>
      <w:r>
        <w:rPr>
          <w:rFonts w:hint="eastAsia" w:ascii="仿宋_GB2312" w:hAnsi="仿宋" w:eastAsia="仿宋_GB2312"/>
          <w:b w:val="0"/>
          <w:bCs w:val="0"/>
          <w:color w:val="auto"/>
          <w:sz w:val="32"/>
          <w:szCs w:val="32"/>
          <w:highlight w:val="none"/>
        </w:rPr>
        <w:t>福利医院儿科、康复科等因无医生而暂时停诊，并且随着青年医生因职业发展和待遇问题离职以及高龄医生的退休，矛盾将更加突出。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2</w:t>
      </w:r>
      <w:r>
        <w:rPr>
          <w:rFonts w:hint="eastAsia" w:ascii="仿宋_GB2312" w:hAnsi="仿宋" w:eastAsia="仿宋_GB2312"/>
          <w:b w:val="0"/>
          <w:bCs w:val="0"/>
          <w:color w:val="auto"/>
          <w:sz w:val="32"/>
          <w:szCs w:val="32"/>
          <w:highlight w:val="none"/>
          <w:lang w:val="en-US" w:eastAsia="zh-CN"/>
        </w:rPr>
        <w:t>.</w:t>
      </w:r>
      <w:r>
        <w:rPr>
          <w:rFonts w:hint="eastAsia" w:ascii="仿宋_GB2312" w:hAnsi="仿宋" w:eastAsia="仿宋_GB2312"/>
          <w:b w:val="0"/>
          <w:bCs w:val="0"/>
          <w:color w:val="auto"/>
          <w:sz w:val="32"/>
          <w:szCs w:val="32"/>
          <w:highlight w:val="none"/>
        </w:rPr>
        <w:t>福利机构长期封闭管理带来管理压力。2022年度按照本市疫情防控要求，市属福利机构多次封闭轮岗，造成工作人员和服务对象精神压力大，情绪纾解难，日常管理和舆情防控面临风险。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3</w:t>
      </w:r>
      <w:r>
        <w:rPr>
          <w:rFonts w:hint="eastAsia" w:ascii="仿宋_GB2312" w:hAnsi="仿宋" w:eastAsia="仿宋_GB2312"/>
          <w:b w:val="0"/>
          <w:bCs w:val="0"/>
          <w:color w:val="auto"/>
          <w:sz w:val="32"/>
          <w:szCs w:val="32"/>
          <w:highlight w:val="none"/>
          <w:lang w:val="en-US" w:eastAsia="zh-CN"/>
        </w:rPr>
        <w:t>.</w:t>
      </w:r>
      <w:r>
        <w:rPr>
          <w:rFonts w:hint="eastAsia" w:ascii="仿宋_GB2312" w:hAnsi="仿宋" w:eastAsia="仿宋_GB2312"/>
          <w:b w:val="0"/>
          <w:bCs w:val="0"/>
          <w:color w:val="auto"/>
          <w:sz w:val="32"/>
          <w:szCs w:val="32"/>
          <w:highlight w:val="none"/>
        </w:rPr>
        <w:t>民政工业总公司改制划转制约因素多。</w:t>
      </w:r>
      <w:r>
        <w:rPr>
          <w:rFonts w:hint="eastAsia" w:ascii="仿宋_GB2312" w:hAnsi="仿宋" w:eastAsia="仿宋_GB2312"/>
          <w:b w:val="0"/>
          <w:bCs w:val="0"/>
          <w:color w:val="auto"/>
          <w:sz w:val="32"/>
          <w:szCs w:val="32"/>
          <w:highlight w:val="none"/>
          <w:lang w:val="en-US" w:eastAsia="zh-CN"/>
        </w:rPr>
        <w:t>民政工业</w:t>
      </w:r>
      <w:r>
        <w:rPr>
          <w:rFonts w:hint="eastAsia" w:ascii="仿宋_GB2312" w:hAnsi="仿宋" w:eastAsia="仿宋_GB2312"/>
          <w:b w:val="0"/>
          <w:bCs w:val="0"/>
          <w:color w:val="auto"/>
          <w:sz w:val="32"/>
          <w:szCs w:val="32"/>
          <w:highlight w:val="none"/>
        </w:rPr>
        <w:t>总公司改制划转涉及面广、单位人员多、资产量大、政策性强，涉及企业房屋、土地、资产、集体企业产权界定等问题，推进难度大。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4</w:t>
      </w:r>
      <w:r>
        <w:rPr>
          <w:rFonts w:hint="eastAsia" w:ascii="仿宋_GB2312" w:hAnsi="仿宋" w:eastAsia="仿宋_GB2312"/>
          <w:b w:val="0"/>
          <w:bCs w:val="0"/>
          <w:color w:val="auto"/>
          <w:sz w:val="32"/>
          <w:szCs w:val="32"/>
          <w:highlight w:val="none"/>
          <w:lang w:val="en-US" w:eastAsia="zh-CN"/>
        </w:rPr>
        <w:t>.</w:t>
      </w:r>
      <w:r>
        <w:rPr>
          <w:rFonts w:hint="eastAsia" w:ascii="仿宋_GB2312" w:hAnsi="仿宋" w:eastAsia="仿宋_GB2312"/>
          <w:b w:val="0"/>
          <w:bCs w:val="0"/>
          <w:color w:val="auto"/>
          <w:sz w:val="32"/>
          <w:szCs w:val="32"/>
          <w:highlight w:val="none"/>
        </w:rPr>
        <w:t>制约事业发展瓶颈亟需破解。部分单位基础设施老化，办公用房、业务用房及设备设施均出现不同程度破损，安保技防设备功能滞后，存在一定安全隐患。部分墓园可利用土地不断减少，土地资源枯竭，骨灰墙格位也面临饱和，持续发展遇到瓶颈。殡葬制度规定亟需加快修改完善，现有的殡葬管理有关规定及政策，尚存在空白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9"/>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5</w:t>
      </w:r>
      <w:r>
        <w:rPr>
          <w:rFonts w:hint="eastAsia" w:ascii="仿宋_GB2312" w:hAnsi="仿宋" w:eastAsia="仿宋_GB2312"/>
          <w:b w:val="0"/>
          <w:bCs w:val="0"/>
          <w:color w:val="auto"/>
          <w:sz w:val="32"/>
          <w:szCs w:val="32"/>
          <w:highlight w:val="none"/>
          <w:lang w:val="en-US" w:eastAsia="zh-CN"/>
        </w:rPr>
        <w:t>.</w:t>
      </w:r>
      <w:r>
        <w:rPr>
          <w:rFonts w:hint="eastAsia" w:ascii="仿宋_GB2312" w:hAnsi="仿宋" w:eastAsia="仿宋_GB2312"/>
          <w:b w:val="0"/>
          <w:bCs w:val="0"/>
          <w:color w:val="auto"/>
          <w:sz w:val="32"/>
          <w:szCs w:val="32"/>
          <w:highlight w:val="none"/>
        </w:rPr>
        <w:t>建设项目推进实施存在制约因素。2022年度受疫情影响，部分建设项目实施进度严重滞后。部分单位存在土地权属、房屋建筑规划建设手续不全、未取得房屋产权证、建设档案资料缺失等问题，制约着房屋建筑维修改造工作实施。建设项目管理实践中仍存在权责不统一、程序繁冗等问题，导致项目推进效率受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ascii="黑体" w:hAnsi="黑体" w:eastAsia="黑体" w:cs="宋体"/>
          <w:b w:val="0"/>
          <w:bCs w:val="0"/>
          <w:color w:val="auto"/>
          <w:kern w:val="0"/>
          <w:sz w:val="32"/>
          <w:szCs w:val="32"/>
          <w:highlight w:val="none"/>
        </w:rPr>
      </w:pPr>
      <w:bookmarkStart w:id="20" w:name="_Toc23588"/>
      <w:r>
        <w:rPr>
          <w:rFonts w:hint="eastAsia" w:ascii="黑体" w:hAnsi="黑体" w:eastAsia="黑体" w:cs="宋体"/>
          <w:b w:val="0"/>
          <w:bCs w:val="0"/>
          <w:color w:val="auto"/>
          <w:kern w:val="0"/>
          <w:sz w:val="32"/>
          <w:szCs w:val="32"/>
          <w:highlight w:val="none"/>
        </w:rPr>
        <w:t>六、措施建议</w:t>
      </w:r>
      <w:bookmarkEnd w:id="20"/>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1</w:t>
      </w:r>
      <w:r>
        <w:rPr>
          <w:rFonts w:hint="eastAsia" w:ascii="仿宋_GB2312" w:hAnsi="仿宋" w:eastAsia="仿宋_GB2312"/>
          <w:b w:val="0"/>
          <w:bCs w:val="0"/>
          <w:color w:val="auto"/>
          <w:sz w:val="32"/>
          <w:szCs w:val="32"/>
          <w:highlight w:val="none"/>
          <w:lang w:val="en-US" w:eastAsia="zh-CN"/>
        </w:rPr>
        <w:t>.</w:t>
      </w:r>
      <w:r>
        <w:rPr>
          <w:rFonts w:hint="eastAsia" w:ascii="仿宋_GB2312" w:hAnsi="仿宋" w:eastAsia="仿宋_GB2312"/>
          <w:b w:val="0"/>
          <w:bCs w:val="0"/>
          <w:color w:val="auto"/>
          <w:sz w:val="32"/>
          <w:szCs w:val="32"/>
          <w:highlight w:val="none"/>
        </w:rPr>
        <w:t>加强项目可行性研究。细化项目可行性报告、提升项目内容的准确性，进一步加强预算编制的科学性。采用科学合理的方式对预算进行测算，进一步提高预算资金的准确性；针对实施多年的经常性项目，项目可研论证中应重点加强以前年度实施工作的总结、未来年度项目需求调研及年度工作重点和绩效亮点的梳理工作；</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2</w:t>
      </w:r>
      <w:r>
        <w:rPr>
          <w:rFonts w:hint="eastAsia" w:ascii="仿宋_GB2312" w:hAnsi="仿宋" w:eastAsia="仿宋_GB2312"/>
          <w:b w:val="0"/>
          <w:bCs w:val="0"/>
          <w:color w:val="auto"/>
          <w:sz w:val="32"/>
          <w:szCs w:val="32"/>
          <w:highlight w:val="none"/>
          <w:lang w:eastAsia="zh-CN"/>
        </w:rPr>
        <w:t>.</w:t>
      </w:r>
      <w:r>
        <w:rPr>
          <w:rFonts w:hint="eastAsia" w:ascii="仿宋_GB2312" w:hAnsi="仿宋" w:eastAsia="仿宋_GB2312"/>
          <w:b w:val="0"/>
          <w:bCs w:val="0"/>
          <w:color w:val="auto"/>
          <w:sz w:val="32"/>
          <w:szCs w:val="32"/>
          <w:highlight w:val="none"/>
        </w:rPr>
        <w:t>完善项目的实施方案。细化实施方案内容，明确对项目实施背景、实施主体、实施周期、实施关键节点的管控和验收等工作内容，做到有效的过程控制、进度控制、质量控制，减少项目实施风险，确保项目的顺利实施；</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3</w:t>
      </w:r>
      <w:r>
        <w:rPr>
          <w:rFonts w:hint="eastAsia" w:ascii="仿宋_GB2312" w:hAnsi="仿宋" w:eastAsia="仿宋_GB2312"/>
          <w:b w:val="0"/>
          <w:bCs w:val="0"/>
          <w:color w:val="auto"/>
          <w:sz w:val="32"/>
          <w:szCs w:val="32"/>
          <w:highlight w:val="none"/>
          <w:lang w:eastAsia="zh-CN"/>
        </w:rPr>
        <w:t>.</w:t>
      </w:r>
      <w:r>
        <w:rPr>
          <w:rFonts w:hint="eastAsia" w:ascii="仿宋_GB2312" w:hAnsi="仿宋" w:eastAsia="仿宋_GB2312"/>
          <w:b w:val="0"/>
          <w:bCs w:val="0"/>
          <w:color w:val="auto"/>
          <w:sz w:val="32"/>
          <w:szCs w:val="32"/>
          <w:highlight w:val="none"/>
        </w:rPr>
        <w:t>提高项目绩效指标的准确性和相关性。填报绩效目标时，要避免选择无效指标而造成的无法对项目后续执行过程的监督管理和实施结果的检查评价工作；</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4</w:t>
      </w:r>
      <w:r>
        <w:rPr>
          <w:rFonts w:hint="eastAsia" w:ascii="仿宋_GB2312" w:hAnsi="仿宋" w:eastAsia="仿宋_GB2312"/>
          <w:b w:val="0"/>
          <w:bCs w:val="0"/>
          <w:color w:val="auto"/>
          <w:sz w:val="32"/>
          <w:szCs w:val="32"/>
          <w:highlight w:val="none"/>
          <w:lang w:eastAsia="zh-CN"/>
        </w:rPr>
        <w:t>.</w:t>
      </w:r>
      <w:r>
        <w:rPr>
          <w:rFonts w:hint="eastAsia" w:ascii="仿宋_GB2312" w:hAnsi="仿宋" w:eastAsia="仿宋_GB2312"/>
          <w:b w:val="0"/>
          <w:bCs w:val="0"/>
          <w:color w:val="auto"/>
          <w:sz w:val="32"/>
          <w:szCs w:val="32"/>
          <w:highlight w:val="none"/>
        </w:rPr>
        <w:t>提高</w:t>
      </w:r>
      <w:r>
        <w:rPr>
          <w:rFonts w:hint="eastAsia" w:ascii="仿宋_GB2312" w:hAnsi="仿宋" w:eastAsia="仿宋_GB2312"/>
          <w:b w:val="0"/>
          <w:bCs w:val="0"/>
          <w:color w:val="auto"/>
          <w:sz w:val="32"/>
          <w:szCs w:val="32"/>
          <w:highlight w:val="none"/>
          <w:lang w:val="en-US" w:eastAsia="zh-CN"/>
        </w:rPr>
        <w:t>市福利中心</w:t>
      </w:r>
      <w:r>
        <w:rPr>
          <w:rFonts w:hint="eastAsia" w:ascii="仿宋_GB2312" w:hAnsi="仿宋" w:eastAsia="仿宋_GB2312"/>
          <w:b w:val="0"/>
          <w:bCs w:val="0"/>
          <w:color w:val="auto"/>
          <w:sz w:val="32"/>
          <w:szCs w:val="32"/>
          <w:highlight w:val="none"/>
        </w:rPr>
        <w:t>各业务处室及下属预算单位的整体绩效管理意识。要注重从单位层面实施与项目相关的决策和管理；注重日常绩效资料的归集和保管工作；</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5</w:t>
      </w:r>
      <w:r>
        <w:rPr>
          <w:rFonts w:hint="eastAsia" w:ascii="仿宋_GB2312" w:hAnsi="仿宋" w:eastAsia="仿宋_GB2312"/>
          <w:b w:val="0"/>
          <w:bCs w:val="0"/>
          <w:color w:val="auto"/>
          <w:sz w:val="32"/>
          <w:szCs w:val="32"/>
          <w:highlight w:val="none"/>
          <w:lang w:eastAsia="zh-CN"/>
        </w:rPr>
        <w:t>.</w:t>
      </w:r>
      <w:r>
        <w:rPr>
          <w:rFonts w:hint="eastAsia" w:ascii="仿宋_GB2312" w:hAnsi="仿宋" w:eastAsia="仿宋_GB2312"/>
          <w:b w:val="0"/>
          <w:bCs w:val="0"/>
          <w:color w:val="auto"/>
          <w:sz w:val="32"/>
          <w:szCs w:val="32"/>
          <w:highlight w:val="none"/>
        </w:rPr>
        <w:t>加强对项目实施效果的跟踪调研、统计汇总工作。要确保绩效数据真实、准确；要对数据适用性进行分析、论证，确保绩效数据与绩效目标的对应性；</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6</w:t>
      </w:r>
      <w:r>
        <w:rPr>
          <w:rFonts w:hint="eastAsia" w:ascii="仿宋_GB2312" w:hAnsi="仿宋" w:eastAsia="仿宋_GB2312"/>
          <w:b w:val="0"/>
          <w:bCs w:val="0"/>
          <w:color w:val="auto"/>
          <w:sz w:val="32"/>
          <w:szCs w:val="32"/>
          <w:highlight w:val="none"/>
          <w:lang w:eastAsia="zh-CN"/>
        </w:rPr>
        <w:t>.</w:t>
      </w:r>
      <w:r>
        <w:rPr>
          <w:rFonts w:hint="eastAsia" w:ascii="仿宋_GB2312" w:hAnsi="仿宋" w:eastAsia="仿宋_GB2312"/>
          <w:b w:val="0"/>
          <w:bCs w:val="0"/>
          <w:color w:val="auto"/>
          <w:sz w:val="32"/>
          <w:szCs w:val="32"/>
          <w:highlight w:val="none"/>
        </w:rPr>
        <w:t>进一步明确项目受众群体。对服务对象满意度调查时，要科学选取样本，适当扩大样本量，确保调查结果的准确性和可靠性；要及时做好满意度调查的反馈工作，有效促进经常性项目后续年度的改进和提升等。</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eastAsia" w:ascii="黑体" w:hAnsi="黑体" w:eastAsia="黑体" w:cs="宋体"/>
          <w:b w:val="0"/>
          <w:bCs w:val="0"/>
          <w:color w:val="auto"/>
          <w:kern w:val="0"/>
          <w:sz w:val="32"/>
          <w:szCs w:val="32"/>
          <w:highlight w:val="none"/>
          <w:lang w:val="en-US" w:eastAsia="zh-CN" w:bidi="ar-SA"/>
        </w:rPr>
      </w:pPr>
      <w:bookmarkStart w:id="21" w:name="_Toc26218"/>
      <w:r>
        <w:rPr>
          <w:rFonts w:hint="eastAsia" w:ascii="黑体" w:hAnsi="黑体" w:eastAsia="黑体" w:cs="宋体"/>
          <w:b w:val="0"/>
          <w:bCs w:val="0"/>
          <w:color w:val="auto"/>
          <w:kern w:val="0"/>
          <w:sz w:val="32"/>
          <w:szCs w:val="32"/>
          <w:highlight w:val="none"/>
          <w:lang w:val="en-US" w:eastAsia="zh-CN" w:bidi="ar-SA"/>
        </w:rPr>
        <w:t>七、附件</w:t>
      </w:r>
      <w:bookmarkEnd w:id="21"/>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b w:val="0"/>
          <w:bCs w:val="0"/>
          <w:color w:val="auto"/>
          <w:sz w:val="32"/>
          <w:szCs w:val="32"/>
          <w:highlight w:val="none"/>
        </w:rPr>
      </w:pPr>
      <w:r>
        <w:rPr>
          <w:rFonts w:hint="eastAsia" w:ascii="仿宋_GB2312" w:hAnsi="仿宋" w:eastAsia="仿宋_GB2312"/>
          <w:b w:val="0"/>
          <w:bCs w:val="0"/>
          <w:color w:val="auto"/>
          <w:sz w:val="32"/>
          <w:szCs w:val="32"/>
          <w:highlight w:val="none"/>
        </w:rPr>
        <w:t>202</w:t>
      </w:r>
      <w:r>
        <w:rPr>
          <w:rFonts w:hint="eastAsia" w:ascii="仿宋_GB2312" w:hAnsi="仿宋" w:eastAsia="仿宋_GB2312"/>
          <w:b w:val="0"/>
          <w:bCs w:val="0"/>
          <w:color w:val="auto"/>
          <w:sz w:val="32"/>
          <w:szCs w:val="32"/>
          <w:highlight w:val="none"/>
          <w:lang w:val="en-US" w:eastAsia="zh-CN"/>
        </w:rPr>
        <w:t>2</w:t>
      </w:r>
      <w:r>
        <w:rPr>
          <w:rFonts w:hint="eastAsia" w:ascii="仿宋_GB2312" w:hAnsi="仿宋" w:eastAsia="仿宋_GB2312"/>
          <w:b w:val="0"/>
          <w:bCs w:val="0"/>
          <w:color w:val="auto"/>
          <w:sz w:val="32"/>
          <w:szCs w:val="32"/>
          <w:highlight w:val="none"/>
        </w:rPr>
        <w:t>年部门整体绩效评价指标体系评分</w:t>
      </w:r>
      <w:r>
        <w:rPr>
          <w:rFonts w:hint="eastAsia" w:ascii="仿宋_GB2312" w:hAnsi="仿宋" w:eastAsia="仿宋_GB2312"/>
          <w:b w:val="0"/>
          <w:bCs w:val="0"/>
          <w:color w:val="auto"/>
          <w:sz w:val="32"/>
          <w:szCs w:val="32"/>
          <w:highlight w:val="none"/>
          <w:lang w:eastAsia="zh-CN"/>
        </w:rPr>
        <w:t>表</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32</w:t>
    </w:r>
    <w:r>
      <w:rPr>
        <w:rFonts w:ascii="宋体" w:hAnsi="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RmNGIxNTcwMjEzZTBhZmU2NzA2MDkzYzE0MTFmMGIifQ=="/>
  </w:docVars>
  <w:rsids>
    <w:rsidRoot w:val="00EA28B9"/>
    <w:rsid w:val="00010C55"/>
    <w:rsid w:val="00015325"/>
    <w:rsid w:val="00015FFF"/>
    <w:rsid w:val="000316E8"/>
    <w:rsid w:val="00055E92"/>
    <w:rsid w:val="00062156"/>
    <w:rsid w:val="0006637B"/>
    <w:rsid w:val="000A6709"/>
    <w:rsid w:val="000A68CA"/>
    <w:rsid w:val="000C771F"/>
    <w:rsid w:val="000E2E18"/>
    <w:rsid w:val="000E5BA3"/>
    <w:rsid w:val="00101F41"/>
    <w:rsid w:val="001032B7"/>
    <w:rsid w:val="001053EC"/>
    <w:rsid w:val="0011143C"/>
    <w:rsid w:val="0012454F"/>
    <w:rsid w:val="00141A2D"/>
    <w:rsid w:val="00141CD0"/>
    <w:rsid w:val="001474D5"/>
    <w:rsid w:val="00156135"/>
    <w:rsid w:val="00174055"/>
    <w:rsid w:val="001D43ED"/>
    <w:rsid w:val="001D4658"/>
    <w:rsid w:val="001E5229"/>
    <w:rsid w:val="001F61EC"/>
    <w:rsid w:val="00222CCB"/>
    <w:rsid w:val="002305AB"/>
    <w:rsid w:val="00236664"/>
    <w:rsid w:val="002411B0"/>
    <w:rsid w:val="00251DE4"/>
    <w:rsid w:val="00260F82"/>
    <w:rsid w:val="00282D13"/>
    <w:rsid w:val="002A3827"/>
    <w:rsid w:val="002B11FA"/>
    <w:rsid w:val="002B6958"/>
    <w:rsid w:val="002C7E72"/>
    <w:rsid w:val="002D1F14"/>
    <w:rsid w:val="002D268E"/>
    <w:rsid w:val="002D516D"/>
    <w:rsid w:val="002D7CC3"/>
    <w:rsid w:val="002E6193"/>
    <w:rsid w:val="002F4C98"/>
    <w:rsid w:val="00303D45"/>
    <w:rsid w:val="003071B7"/>
    <w:rsid w:val="00312020"/>
    <w:rsid w:val="00312AF6"/>
    <w:rsid w:val="0032322C"/>
    <w:rsid w:val="00333D4C"/>
    <w:rsid w:val="00354F3B"/>
    <w:rsid w:val="0035795B"/>
    <w:rsid w:val="00372E34"/>
    <w:rsid w:val="00374AEF"/>
    <w:rsid w:val="00381272"/>
    <w:rsid w:val="003919E4"/>
    <w:rsid w:val="00392713"/>
    <w:rsid w:val="003B2E00"/>
    <w:rsid w:val="003B4F8B"/>
    <w:rsid w:val="003D28C1"/>
    <w:rsid w:val="003E4C0A"/>
    <w:rsid w:val="003F078F"/>
    <w:rsid w:val="003F385F"/>
    <w:rsid w:val="003F5F17"/>
    <w:rsid w:val="00411F8C"/>
    <w:rsid w:val="00415ED1"/>
    <w:rsid w:val="00421BD9"/>
    <w:rsid w:val="00433801"/>
    <w:rsid w:val="00463E23"/>
    <w:rsid w:val="0049499B"/>
    <w:rsid w:val="0049612A"/>
    <w:rsid w:val="004B1D2B"/>
    <w:rsid w:val="004B5E8F"/>
    <w:rsid w:val="004C0D68"/>
    <w:rsid w:val="004F5541"/>
    <w:rsid w:val="00521A16"/>
    <w:rsid w:val="005330D1"/>
    <w:rsid w:val="00542846"/>
    <w:rsid w:val="005525B7"/>
    <w:rsid w:val="005560F1"/>
    <w:rsid w:val="005607F3"/>
    <w:rsid w:val="005747BD"/>
    <w:rsid w:val="00582D6B"/>
    <w:rsid w:val="005A32AF"/>
    <w:rsid w:val="005C55FE"/>
    <w:rsid w:val="005D35FB"/>
    <w:rsid w:val="005E1579"/>
    <w:rsid w:val="005E3D6F"/>
    <w:rsid w:val="005E707E"/>
    <w:rsid w:val="00621C56"/>
    <w:rsid w:val="006412C2"/>
    <w:rsid w:val="00670DBF"/>
    <w:rsid w:val="00683515"/>
    <w:rsid w:val="00686A6A"/>
    <w:rsid w:val="00687560"/>
    <w:rsid w:val="00695D3F"/>
    <w:rsid w:val="006A4624"/>
    <w:rsid w:val="006B3909"/>
    <w:rsid w:val="006C366F"/>
    <w:rsid w:val="006C4F61"/>
    <w:rsid w:val="006E0CAC"/>
    <w:rsid w:val="006F1D7A"/>
    <w:rsid w:val="006F2699"/>
    <w:rsid w:val="00714C25"/>
    <w:rsid w:val="00721F7C"/>
    <w:rsid w:val="00725C8C"/>
    <w:rsid w:val="00735EAA"/>
    <w:rsid w:val="007453D3"/>
    <w:rsid w:val="00746C6D"/>
    <w:rsid w:val="00754E40"/>
    <w:rsid w:val="00756714"/>
    <w:rsid w:val="00772B1F"/>
    <w:rsid w:val="007771DD"/>
    <w:rsid w:val="007B4BA7"/>
    <w:rsid w:val="007B7B29"/>
    <w:rsid w:val="007C7979"/>
    <w:rsid w:val="007D418A"/>
    <w:rsid w:val="007F083C"/>
    <w:rsid w:val="007F32D8"/>
    <w:rsid w:val="00801038"/>
    <w:rsid w:val="00802851"/>
    <w:rsid w:val="00807290"/>
    <w:rsid w:val="00807F6E"/>
    <w:rsid w:val="00813C43"/>
    <w:rsid w:val="00817500"/>
    <w:rsid w:val="00843CC3"/>
    <w:rsid w:val="008565C9"/>
    <w:rsid w:val="0086104D"/>
    <w:rsid w:val="0088103F"/>
    <w:rsid w:val="00896F16"/>
    <w:rsid w:val="008A0790"/>
    <w:rsid w:val="008A0ECF"/>
    <w:rsid w:val="008F18F7"/>
    <w:rsid w:val="009049E5"/>
    <w:rsid w:val="00917EC0"/>
    <w:rsid w:val="009205BA"/>
    <w:rsid w:val="00922C51"/>
    <w:rsid w:val="00923596"/>
    <w:rsid w:val="00923757"/>
    <w:rsid w:val="009269C6"/>
    <w:rsid w:val="00931B48"/>
    <w:rsid w:val="00934B35"/>
    <w:rsid w:val="0096287F"/>
    <w:rsid w:val="0096368F"/>
    <w:rsid w:val="00966DC6"/>
    <w:rsid w:val="00967033"/>
    <w:rsid w:val="0097178D"/>
    <w:rsid w:val="00971FE9"/>
    <w:rsid w:val="00991C6B"/>
    <w:rsid w:val="009D03FD"/>
    <w:rsid w:val="009D31C7"/>
    <w:rsid w:val="009F30EB"/>
    <w:rsid w:val="009F427B"/>
    <w:rsid w:val="00A14AAF"/>
    <w:rsid w:val="00A2034D"/>
    <w:rsid w:val="00A3209C"/>
    <w:rsid w:val="00A412C8"/>
    <w:rsid w:val="00A47315"/>
    <w:rsid w:val="00A52801"/>
    <w:rsid w:val="00A56D2C"/>
    <w:rsid w:val="00A573AD"/>
    <w:rsid w:val="00A62467"/>
    <w:rsid w:val="00A743C0"/>
    <w:rsid w:val="00AA627B"/>
    <w:rsid w:val="00AC43B5"/>
    <w:rsid w:val="00AC6442"/>
    <w:rsid w:val="00AD5235"/>
    <w:rsid w:val="00AE0D7E"/>
    <w:rsid w:val="00AE72FF"/>
    <w:rsid w:val="00AF09F5"/>
    <w:rsid w:val="00B07756"/>
    <w:rsid w:val="00B560F4"/>
    <w:rsid w:val="00B75A0E"/>
    <w:rsid w:val="00B77C56"/>
    <w:rsid w:val="00B80862"/>
    <w:rsid w:val="00B90FBD"/>
    <w:rsid w:val="00B93EDC"/>
    <w:rsid w:val="00B9641B"/>
    <w:rsid w:val="00B9701E"/>
    <w:rsid w:val="00BC1364"/>
    <w:rsid w:val="00BE58A0"/>
    <w:rsid w:val="00C05D31"/>
    <w:rsid w:val="00C220F8"/>
    <w:rsid w:val="00C22528"/>
    <w:rsid w:val="00C452AC"/>
    <w:rsid w:val="00C53087"/>
    <w:rsid w:val="00C61AC2"/>
    <w:rsid w:val="00C7695F"/>
    <w:rsid w:val="00CB40AE"/>
    <w:rsid w:val="00CC2505"/>
    <w:rsid w:val="00CF05A8"/>
    <w:rsid w:val="00CF22A9"/>
    <w:rsid w:val="00CF3050"/>
    <w:rsid w:val="00D043BB"/>
    <w:rsid w:val="00D11A0C"/>
    <w:rsid w:val="00D221BB"/>
    <w:rsid w:val="00D414A5"/>
    <w:rsid w:val="00D42A06"/>
    <w:rsid w:val="00D43F45"/>
    <w:rsid w:val="00D45FBF"/>
    <w:rsid w:val="00D64FF6"/>
    <w:rsid w:val="00D709D2"/>
    <w:rsid w:val="00D77B8E"/>
    <w:rsid w:val="00D8274D"/>
    <w:rsid w:val="00D83FC8"/>
    <w:rsid w:val="00D85400"/>
    <w:rsid w:val="00D861D4"/>
    <w:rsid w:val="00DA0D9D"/>
    <w:rsid w:val="00DA1A51"/>
    <w:rsid w:val="00DB2784"/>
    <w:rsid w:val="00DB576A"/>
    <w:rsid w:val="00DC0441"/>
    <w:rsid w:val="00DC0F6D"/>
    <w:rsid w:val="00DE5904"/>
    <w:rsid w:val="00DE7816"/>
    <w:rsid w:val="00DF36F1"/>
    <w:rsid w:val="00E0118B"/>
    <w:rsid w:val="00E07079"/>
    <w:rsid w:val="00E14F52"/>
    <w:rsid w:val="00E16689"/>
    <w:rsid w:val="00E47222"/>
    <w:rsid w:val="00E65B32"/>
    <w:rsid w:val="00E65F05"/>
    <w:rsid w:val="00E817C3"/>
    <w:rsid w:val="00E96FDE"/>
    <w:rsid w:val="00E97B36"/>
    <w:rsid w:val="00EA28B9"/>
    <w:rsid w:val="00EB561A"/>
    <w:rsid w:val="00EB7EEA"/>
    <w:rsid w:val="00EE06AF"/>
    <w:rsid w:val="00EE267D"/>
    <w:rsid w:val="00EE474B"/>
    <w:rsid w:val="00EF395D"/>
    <w:rsid w:val="00F00D9B"/>
    <w:rsid w:val="00F022EB"/>
    <w:rsid w:val="00F17DF2"/>
    <w:rsid w:val="00F20465"/>
    <w:rsid w:val="00F32BC5"/>
    <w:rsid w:val="00F34730"/>
    <w:rsid w:val="00F43BE6"/>
    <w:rsid w:val="00F513FD"/>
    <w:rsid w:val="00F53F60"/>
    <w:rsid w:val="00F73363"/>
    <w:rsid w:val="00F73D9B"/>
    <w:rsid w:val="00F744C0"/>
    <w:rsid w:val="00FB4B84"/>
    <w:rsid w:val="00FC5967"/>
    <w:rsid w:val="00FE4D94"/>
    <w:rsid w:val="00FF5424"/>
    <w:rsid w:val="01172A03"/>
    <w:rsid w:val="0199445D"/>
    <w:rsid w:val="027974D2"/>
    <w:rsid w:val="031F252E"/>
    <w:rsid w:val="041B703D"/>
    <w:rsid w:val="05E35235"/>
    <w:rsid w:val="06654211"/>
    <w:rsid w:val="08AA5B97"/>
    <w:rsid w:val="08BF22FE"/>
    <w:rsid w:val="08D47156"/>
    <w:rsid w:val="09711AC1"/>
    <w:rsid w:val="099E62D5"/>
    <w:rsid w:val="0B8A26D4"/>
    <w:rsid w:val="0BD94B7A"/>
    <w:rsid w:val="0C562DF3"/>
    <w:rsid w:val="0C8F33F2"/>
    <w:rsid w:val="0CF32576"/>
    <w:rsid w:val="0F78188D"/>
    <w:rsid w:val="0FEB7FEE"/>
    <w:rsid w:val="1017657C"/>
    <w:rsid w:val="110A7E8F"/>
    <w:rsid w:val="112241ED"/>
    <w:rsid w:val="11666EF4"/>
    <w:rsid w:val="117016A9"/>
    <w:rsid w:val="12EE3694"/>
    <w:rsid w:val="154148ED"/>
    <w:rsid w:val="16353C00"/>
    <w:rsid w:val="16D62785"/>
    <w:rsid w:val="17873B7F"/>
    <w:rsid w:val="182A0E16"/>
    <w:rsid w:val="19003456"/>
    <w:rsid w:val="19FE255B"/>
    <w:rsid w:val="1B6F4369"/>
    <w:rsid w:val="1BFF49E5"/>
    <w:rsid w:val="1D7414B2"/>
    <w:rsid w:val="1DA24FE9"/>
    <w:rsid w:val="1DB7314C"/>
    <w:rsid w:val="1F0138C3"/>
    <w:rsid w:val="2044337B"/>
    <w:rsid w:val="21252EE2"/>
    <w:rsid w:val="215D04AF"/>
    <w:rsid w:val="22382D18"/>
    <w:rsid w:val="235A5E54"/>
    <w:rsid w:val="26E34FB2"/>
    <w:rsid w:val="27054F28"/>
    <w:rsid w:val="275C3DCE"/>
    <w:rsid w:val="27FF492C"/>
    <w:rsid w:val="2809401E"/>
    <w:rsid w:val="289447B6"/>
    <w:rsid w:val="28F82F1B"/>
    <w:rsid w:val="2ACD7E07"/>
    <w:rsid w:val="2BDE36A4"/>
    <w:rsid w:val="2D715D23"/>
    <w:rsid w:val="2F4D7300"/>
    <w:rsid w:val="2FE87560"/>
    <w:rsid w:val="30393E95"/>
    <w:rsid w:val="319E109F"/>
    <w:rsid w:val="33EE0B92"/>
    <w:rsid w:val="34144805"/>
    <w:rsid w:val="341B5D8B"/>
    <w:rsid w:val="347B2AC3"/>
    <w:rsid w:val="36145188"/>
    <w:rsid w:val="36432D79"/>
    <w:rsid w:val="37450207"/>
    <w:rsid w:val="388A1731"/>
    <w:rsid w:val="388E3C94"/>
    <w:rsid w:val="39353C1E"/>
    <w:rsid w:val="3A1F5EA9"/>
    <w:rsid w:val="3A88696E"/>
    <w:rsid w:val="3B6E533A"/>
    <w:rsid w:val="3BC15A00"/>
    <w:rsid w:val="3BD333EF"/>
    <w:rsid w:val="3C201CBC"/>
    <w:rsid w:val="3DC96858"/>
    <w:rsid w:val="404E30B4"/>
    <w:rsid w:val="40827192"/>
    <w:rsid w:val="40C02F6D"/>
    <w:rsid w:val="4105388F"/>
    <w:rsid w:val="44634166"/>
    <w:rsid w:val="46BB6940"/>
    <w:rsid w:val="47121270"/>
    <w:rsid w:val="4990663D"/>
    <w:rsid w:val="49940662"/>
    <w:rsid w:val="4A2512BA"/>
    <w:rsid w:val="4BDF7EF2"/>
    <w:rsid w:val="4C012BBE"/>
    <w:rsid w:val="4CC0351C"/>
    <w:rsid w:val="4CC76658"/>
    <w:rsid w:val="4D2131D2"/>
    <w:rsid w:val="4EC8490A"/>
    <w:rsid w:val="4F111E0D"/>
    <w:rsid w:val="50972065"/>
    <w:rsid w:val="51422C97"/>
    <w:rsid w:val="51DB3C59"/>
    <w:rsid w:val="52067C23"/>
    <w:rsid w:val="524D6939"/>
    <w:rsid w:val="52F43F1F"/>
    <w:rsid w:val="54554BE5"/>
    <w:rsid w:val="54F2623D"/>
    <w:rsid w:val="567D0FBA"/>
    <w:rsid w:val="584722A5"/>
    <w:rsid w:val="5A4562A7"/>
    <w:rsid w:val="5B081AB1"/>
    <w:rsid w:val="5B303AB7"/>
    <w:rsid w:val="5C89392A"/>
    <w:rsid w:val="5CDA23D8"/>
    <w:rsid w:val="5CE62B2B"/>
    <w:rsid w:val="5E5E3CB0"/>
    <w:rsid w:val="5EAF79B6"/>
    <w:rsid w:val="5F2913F5"/>
    <w:rsid w:val="63613B5C"/>
    <w:rsid w:val="659F72AD"/>
    <w:rsid w:val="663871FA"/>
    <w:rsid w:val="66693C69"/>
    <w:rsid w:val="6677286E"/>
    <w:rsid w:val="677D0530"/>
    <w:rsid w:val="685E210F"/>
    <w:rsid w:val="68A32639"/>
    <w:rsid w:val="69562A8F"/>
    <w:rsid w:val="698301E7"/>
    <w:rsid w:val="6C881A03"/>
    <w:rsid w:val="6D1C6E8F"/>
    <w:rsid w:val="6D2E13D6"/>
    <w:rsid w:val="6DAE63BF"/>
    <w:rsid w:val="6DF971B7"/>
    <w:rsid w:val="6E7855AD"/>
    <w:rsid w:val="6FDF17DB"/>
    <w:rsid w:val="71844269"/>
    <w:rsid w:val="71CB623E"/>
    <w:rsid w:val="722E3D64"/>
    <w:rsid w:val="737E5413"/>
    <w:rsid w:val="739D6139"/>
    <w:rsid w:val="73A126C3"/>
    <w:rsid w:val="7431442E"/>
    <w:rsid w:val="747607E0"/>
    <w:rsid w:val="75295853"/>
    <w:rsid w:val="761738FD"/>
    <w:rsid w:val="76C21ABB"/>
    <w:rsid w:val="770E2F52"/>
    <w:rsid w:val="77A2369A"/>
    <w:rsid w:val="785E3A65"/>
    <w:rsid w:val="78BD53BB"/>
    <w:rsid w:val="79C44CCA"/>
    <w:rsid w:val="7AF72429"/>
    <w:rsid w:val="7B0C533F"/>
    <w:rsid w:val="7B242D18"/>
    <w:rsid w:val="7B2F16E9"/>
    <w:rsid w:val="7B424EF7"/>
    <w:rsid w:val="7B4A02D1"/>
    <w:rsid w:val="7CC70A67"/>
    <w:rsid w:val="7D152CC2"/>
    <w:rsid w:val="7D681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等线 Light" w:hAnsi="等线 Light" w:eastAsia="等线 Light" w:cs="黑体"/>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alloon Text"/>
    <w:basedOn w:val="1"/>
    <w:link w:val="20"/>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tabs>
        <w:tab w:val="right" w:leader="dot" w:pos="8296"/>
      </w:tabs>
      <w:spacing w:line="480" w:lineRule="auto"/>
    </w:pPr>
  </w:style>
  <w:style w:type="paragraph" w:styleId="9">
    <w:name w:val="toc 2"/>
    <w:basedOn w:val="1"/>
    <w:next w:val="1"/>
    <w:unhideWhenUsed/>
    <w:qFormat/>
    <w:uiPriority w:val="39"/>
    <w:pPr>
      <w:ind w:left="420" w:leftChars="200"/>
    </w:pPr>
  </w:style>
  <w:style w:type="character" w:styleId="12">
    <w:name w:val="Hyperlink"/>
    <w:basedOn w:val="11"/>
    <w:unhideWhenUsed/>
    <w:qFormat/>
    <w:uiPriority w:val="99"/>
    <w:rPr>
      <w:color w:val="0563C1"/>
      <w:u w:val="single"/>
    </w:rPr>
  </w:style>
  <w:style w:type="paragraph" w:customStyle="1" w:styleId="13">
    <w:name w:val="TOC 标题1"/>
    <w:basedOn w:val="2"/>
    <w:next w:val="1"/>
    <w:unhideWhenUsed/>
    <w:qFormat/>
    <w:uiPriority w:val="39"/>
    <w:pPr>
      <w:widowControl/>
      <w:spacing w:before="240" w:after="0" w:line="259" w:lineRule="auto"/>
      <w:jc w:val="left"/>
      <w:outlineLvl w:val="9"/>
    </w:pPr>
    <w:rPr>
      <w:rFonts w:ascii="等线 Light" w:hAnsi="等线 Light" w:eastAsia="等线 Light" w:cs="黑体"/>
      <w:b w:val="0"/>
      <w:bCs w:val="0"/>
      <w:color w:val="2E5394"/>
      <w:kern w:val="0"/>
      <w:sz w:val="32"/>
      <w:szCs w:val="32"/>
    </w:rPr>
  </w:style>
  <w:style w:type="paragraph" w:customStyle="1" w:styleId="14">
    <w:name w:val="列出段落1"/>
    <w:basedOn w:val="1"/>
    <w:qFormat/>
    <w:uiPriority w:val="34"/>
    <w:pPr>
      <w:ind w:firstLine="420" w:firstLineChars="200"/>
    </w:p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页眉 Char"/>
    <w:link w:val="7"/>
    <w:qFormat/>
    <w:uiPriority w:val="99"/>
    <w:rPr>
      <w:sz w:val="18"/>
      <w:szCs w:val="18"/>
    </w:rPr>
  </w:style>
  <w:style w:type="character" w:customStyle="1" w:styleId="17">
    <w:name w:val="页脚 Char"/>
    <w:link w:val="6"/>
    <w:qFormat/>
    <w:uiPriority w:val="99"/>
    <w:rPr>
      <w:sz w:val="18"/>
      <w:szCs w:val="18"/>
    </w:rPr>
  </w:style>
  <w:style w:type="character" w:customStyle="1" w:styleId="18">
    <w:name w:val="标题 1 Char"/>
    <w:link w:val="2"/>
    <w:qFormat/>
    <w:uiPriority w:val="9"/>
    <w:rPr>
      <w:rFonts w:ascii="Times New Roman" w:hAnsi="Times New Roman" w:eastAsia="宋体" w:cs="Times New Roman"/>
      <w:b/>
      <w:bCs/>
      <w:kern w:val="44"/>
      <w:sz w:val="44"/>
      <w:szCs w:val="44"/>
    </w:rPr>
  </w:style>
  <w:style w:type="character" w:customStyle="1" w:styleId="19">
    <w:name w:val="标题 2 Char"/>
    <w:link w:val="3"/>
    <w:qFormat/>
    <w:uiPriority w:val="9"/>
    <w:rPr>
      <w:rFonts w:ascii="等线 Light" w:hAnsi="等线 Light" w:eastAsia="等线 Light" w:cs="黑体"/>
      <w:b/>
      <w:bCs/>
      <w:sz w:val="32"/>
      <w:szCs w:val="32"/>
    </w:rPr>
  </w:style>
  <w:style w:type="character" w:customStyle="1" w:styleId="20">
    <w:name w:val="批注框文本 Char"/>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13191</Words>
  <Characters>14325</Characters>
  <Lines>129</Lines>
  <Paragraphs>36</Paragraphs>
  <TotalTime>2</TotalTime>
  <ScaleCrop>false</ScaleCrop>
  <LinksUpToDate>false</LinksUpToDate>
  <CharactersWithSpaces>14457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2023-05-15T07:37:00Z</dcterms:created>
  <dc:creator>j m</dc:creator>
  <cp:lastModifiedBy>YC</cp:lastModifiedBy>
  <dcterms:modified xsi:type="dcterms:W3CDTF">2023-05-19T02:21:57Z</dcterms:modified>
  <dc:title>北京市市级预算部门整体</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37E844052DD948E7BED500A9428D1F64</vt:lpwstr>
  </property>
</Properties>
</file>