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w:t>
      </w:r>
      <w:r>
        <w:rPr>
          <w:rFonts w:hint="eastAsia" w:ascii="仿宋_GB2312" w:hAnsi="宋体" w:eastAsia="仿宋_GB2312"/>
          <w:sz w:val="28"/>
          <w:szCs w:val="28"/>
        </w:rPr>
        <w:t>2年度）</w:t>
      </w:r>
    </w:p>
    <w:p>
      <w:pPr>
        <w:spacing w:line="240" w:lineRule="exact"/>
        <w:rPr>
          <w:rFonts w:ascii="仿宋_GB2312" w:hAnsi="宋体" w:eastAsia="仿宋_GB2312"/>
          <w:sz w:val="30"/>
          <w:szCs w:val="30"/>
        </w:rPr>
      </w:pPr>
    </w:p>
    <w:tbl>
      <w:tblPr>
        <w:tblStyle w:val="5"/>
        <w:tblW w:w="11306" w:type="dxa"/>
        <w:jc w:val="center"/>
        <w:tblLayout w:type="fixed"/>
        <w:tblCellMar>
          <w:top w:w="0" w:type="dxa"/>
          <w:left w:w="108" w:type="dxa"/>
          <w:bottom w:w="0" w:type="dxa"/>
          <w:right w:w="108" w:type="dxa"/>
        </w:tblCellMar>
      </w:tblPr>
      <w:tblGrid>
        <w:gridCol w:w="605"/>
        <w:gridCol w:w="1010"/>
        <w:gridCol w:w="1144"/>
        <w:gridCol w:w="752"/>
        <w:gridCol w:w="1364"/>
        <w:gridCol w:w="199"/>
        <w:gridCol w:w="1417"/>
        <w:gridCol w:w="1467"/>
        <w:gridCol w:w="64"/>
        <w:gridCol w:w="587"/>
        <w:gridCol w:w="294"/>
        <w:gridCol w:w="440"/>
        <w:gridCol w:w="440"/>
        <w:gridCol w:w="1523"/>
      </w:tblGrid>
      <w:tr>
        <w:tblPrEx>
          <w:tblCellMar>
            <w:top w:w="0" w:type="dxa"/>
            <w:left w:w="108" w:type="dxa"/>
            <w:bottom w:w="0" w:type="dxa"/>
            <w:right w:w="108" w:type="dxa"/>
          </w:tblCellMar>
        </w:tblPrEx>
        <w:trPr>
          <w:trHeight w:val="250" w:hRule="exact"/>
          <w:jc w:val="center"/>
        </w:trPr>
        <w:tc>
          <w:tcPr>
            <w:tcW w:w="16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969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高端技术技能人才贯通培养试验外聘教师经费</w:t>
            </w:r>
          </w:p>
        </w:tc>
      </w:tr>
      <w:tr>
        <w:tblPrEx>
          <w:tblCellMar>
            <w:top w:w="0" w:type="dxa"/>
            <w:left w:w="108" w:type="dxa"/>
            <w:bottom w:w="0" w:type="dxa"/>
            <w:right w:w="108" w:type="dxa"/>
          </w:tblCellMar>
        </w:tblPrEx>
        <w:trPr>
          <w:trHeight w:val="774" w:hRule="exact"/>
          <w:jc w:val="center"/>
        </w:trPr>
        <w:tc>
          <w:tcPr>
            <w:tcW w:w="16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87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北京一商集团有限责任公司</w:t>
            </w:r>
          </w:p>
        </w:tc>
        <w:tc>
          <w:tcPr>
            <w:tcW w:w="15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2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rPr>
              <w:t>北京市商业学校（北京祥龙资产经营有限责任公司党校）</w:t>
            </w:r>
          </w:p>
        </w:tc>
      </w:tr>
      <w:tr>
        <w:tblPrEx>
          <w:tblCellMar>
            <w:top w:w="0" w:type="dxa"/>
            <w:left w:w="108" w:type="dxa"/>
            <w:bottom w:w="0" w:type="dxa"/>
            <w:right w:w="108" w:type="dxa"/>
          </w:tblCellMar>
        </w:tblPrEx>
        <w:trPr>
          <w:trHeight w:val="425" w:hRule="exact"/>
          <w:jc w:val="center"/>
        </w:trPr>
        <w:tc>
          <w:tcPr>
            <w:tcW w:w="16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87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刘倩</w:t>
            </w:r>
          </w:p>
        </w:tc>
        <w:tc>
          <w:tcPr>
            <w:tcW w:w="15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328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ascii="仿宋_GB2312" w:hAnsi="宋体" w:eastAsia="仿宋_GB2312" w:cs="宋体"/>
                <w:kern w:val="0"/>
                <w:szCs w:val="21"/>
              </w:rPr>
              <w:t>1761420</w:t>
            </w:r>
          </w:p>
        </w:tc>
      </w:tr>
      <w:tr>
        <w:tblPrEx>
          <w:tblCellMar>
            <w:top w:w="0" w:type="dxa"/>
            <w:left w:w="108" w:type="dxa"/>
            <w:bottom w:w="0" w:type="dxa"/>
            <w:right w:w="108" w:type="dxa"/>
          </w:tblCellMar>
        </w:tblPrEx>
        <w:trPr>
          <w:trHeight w:val="464" w:hRule="exact"/>
          <w:jc w:val="center"/>
        </w:trPr>
        <w:tc>
          <w:tcPr>
            <w:tcW w:w="161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6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4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5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88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250" w:hRule="exact"/>
          <w:jc w:val="center"/>
        </w:trPr>
        <w:tc>
          <w:tcPr>
            <w:tcW w:w="1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9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56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365.12</w:t>
            </w:r>
            <w:r>
              <w:rPr>
                <w:rFonts w:hint="eastAsia" w:ascii="仿宋_GB2312" w:hAnsi="宋体" w:eastAsia="仿宋_GB2312" w:cs="宋体"/>
                <w:kern w:val="0"/>
                <w:szCs w:val="21"/>
              </w:rPr>
              <w:t>0</w:t>
            </w:r>
            <w:r>
              <w:rPr>
                <w:rFonts w:ascii="仿宋_GB2312" w:hAnsi="宋体" w:eastAsia="仿宋_GB2312" w:cs="宋体"/>
                <w:kern w:val="0"/>
                <w:szCs w:val="21"/>
              </w:rPr>
              <w:t>000</w:t>
            </w:r>
          </w:p>
        </w:tc>
        <w:tc>
          <w:tcPr>
            <w:tcW w:w="14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36</w:t>
            </w:r>
            <w:r>
              <w:rPr>
                <w:rFonts w:hint="eastAsia" w:ascii="仿宋_GB2312" w:hAnsi="宋体" w:eastAsia="仿宋_GB2312" w:cs="宋体"/>
                <w:kern w:val="0"/>
                <w:szCs w:val="21"/>
                <w:lang w:val="en-US" w:eastAsia="zh-CN"/>
              </w:rPr>
              <w:t>3</w:t>
            </w:r>
            <w:r>
              <w:rPr>
                <w:rFonts w:ascii="仿宋_GB2312" w:hAnsi="宋体" w:eastAsia="仿宋_GB2312" w:cs="宋体"/>
                <w:kern w:val="0"/>
                <w:szCs w:val="21"/>
              </w:rPr>
              <w:t>.12</w:t>
            </w:r>
            <w:r>
              <w:rPr>
                <w:rFonts w:hint="eastAsia" w:ascii="仿宋_GB2312" w:hAnsi="宋体" w:eastAsia="仿宋_GB2312" w:cs="宋体"/>
                <w:kern w:val="0"/>
                <w:szCs w:val="21"/>
              </w:rPr>
              <w:t>0</w:t>
            </w:r>
            <w:r>
              <w:rPr>
                <w:rFonts w:ascii="仿宋_GB2312" w:hAnsi="宋体" w:eastAsia="仿宋_GB2312" w:cs="宋体"/>
                <w:kern w:val="0"/>
                <w:szCs w:val="21"/>
              </w:rPr>
              <w:t>000</w:t>
            </w:r>
          </w:p>
        </w:tc>
        <w:tc>
          <w:tcPr>
            <w:tcW w:w="15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321</w:t>
            </w:r>
            <w:r>
              <w:rPr>
                <w:rFonts w:hint="eastAsia" w:ascii="仿宋_GB2312" w:hAnsi="宋体" w:eastAsia="仿宋_GB2312" w:cs="宋体"/>
                <w:kern w:val="0"/>
                <w:szCs w:val="21"/>
              </w:rPr>
              <w:t>.</w:t>
            </w:r>
            <w:r>
              <w:rPr>
                <w:rFonts w:ascii="仿宋_GB2312" w:hAnsi="宋体" w:eastAsia="仿宋_GB2312" w:cs="宋体"/>
                <w:kern w:val="0"/>
                <w:szCs w:val="21"/>
              </w:rPr>
              <w:t>397537</w:t>
            </w:r>
          </w:p>
        </w:tc>
        <w:tc>
          <w:tcPr>
            <w:tcW w:w="88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w:t>
            </w:r>
            <w:r>
              <w:rPr>
                <w:rFonts w:ascii="仿宋_GB2312" w:hAnsi="宋体" w:eastAsia="仿宋_GB2312" w:cs="宋体"/>
                <w:kern w:val="0"/>
                <w:szCs w:val="21"/>
              </w:rPr>
              <w:t>%</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w:t>
            </w:r>
          </w:p>
        </w:tc>
      </w:tr>
      <w:tr>
        <w:tblPrEx>
          <w:tblCellMar>
            <w:top w:w="0" w:type="dxa"/>
            <w:left w:w="108" w:type="dxa"/>
            <w:bottom w:w="0" w:type="dxa"/>
            <w:right w:w="108" w:type="dxa"/>
          </w:tblCellMar>
        </w:tblPrEx>
        <w:trPr>
          <w:trHeight w:val="492" w:hRule="exact"/>
          <w:jc w:val="center"/>
        </w:trPr>
        <w:tc>
          <w:tcPr>
            <w:tcW w:w="1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56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365.12</w:t>
            </w:r>
            <w:r>
              <w:rPr>
                <w:rFonts w:hint="eastAsia" w:ascii="仿宋_GB2312" w:hAnsi="宋体" w:eastAsia="仿宋_GB2312" w:cs="宋体"/>
                <w:kern w:val="0"/>
                <w:szCs w:val="21"/>
              </w:rPr>
              <w:t>0</w:t>
            </w:r>
            <w:r>
              <w:rPr>
                <w:rFonts w:ascii="仿宋_GB2312" w:hAnsi="宋体" w:eastAsia="仿宋_GB2312" w:cs="宋体"/>
                <w:kern w:val="0"/>
                <w:szCs w:val="21"/>
              </w:rPr>
              <w:t>000</w:t>
            </w:r>
          </w:p>
        </w:tc>
        <w:tc>
          <w:tcPr>
            <w:tcW w:w="14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36</w:t>
            </w:r>
            <w:r>
              <w:rPr>
                <w:rFonts w:hint="eastAsia" w:ascii="仿宋_GB2312" w:hAnsi="宋体" w:eastAsia="仿宋_GB2312" w:cs="宋体"/>
                <w:kern w:val="0"/>
                <w:szCs w:val="21"/>
                <w:lang w:val="en-US" w:eastAsia="zh-CN"/>
              </w:rPr>
              <w:t>3</w:t>
            </w:r>
            <w:bookmarkStart w:id="0" w:name="_GoBack"/>
            <w:bookmarkEnd w:id="0"/>
            <w:r>
              <w:rPr>
                <w:rFonts w:ascii="仿宋_GB2312" w:hAnsi="宋体" w:eastAsia="仿宋_GB2312" w:cs="宋体"/>
                <w:kern w:val="0"/>
                <w:szCs w:val="21"/>
              </w:rPr>
              <w:t>.12</w:t>
            </w:r>
            <w:r>
              <w:rPr>
                <w:rFonts w:hint="eastAsia" w:ascii="仿宋_GB2312" w:hAnsi="宋体" w:eastAsia="仿宋_GB2312" w:cs="宋体"/>
                <w:kern w:val="0"/>
                <w:szCs w:val="21"/>
              </w:rPr>
              <w:t>0</w:t>
            </w:r>
            <w:r>
              <w:rPr>
                <w:rFonts w:ascii="仿宋_GB2312" w:hAnsi="宋体" w:eastAsia="仿宋_GB2312" w:cs="宋体"/>
                <w:kern w:val="0"/>
                <w:szCs w:val="21"/>
              </w:rPr>
              <w:t>000</w:t>
            </w:r>
          </w:p>
        </w:tc>
        <w:tc>
          <w:tcPr>
            <w:tcW w:w="15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321.397537</w:t>
            </w:r>
          </w:p>
        </w:tc>
        <w:tc>
          <w:tcPr>
            <w:tcW w:w="88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88%</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464" w:hRule="exact"/>
          <w:jc w:val="center"/>
        </w:trPr>
        <w:tc>
          <w:tcPr>
            <w:tcW w:w="1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56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5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8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250" w:hRule="exact"/>
          <w:jc w:val="center"/>
        </w:trPr>
        <w:tc>
          <w:tcPr>
            <w:tcW w:w="16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56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5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8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449" w:hRule="exact"/>
          <w:jc w:val="center"/>
        </w:trPr>
        <w:tc>
          <w:tcPr>
            <w:tcW w:w="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88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81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88" w:hRule="exact"/>
          <w:jc w:val="center"/>
        </w:trPr>
        <w:tc>
          <w:tcPr>
            <w:tcW w:w="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88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完成后将使“3+2+2”中高贯通学前教育、音乐学、云财务会计、金融事务、电子商务、互联网IT服务、新能源汽车技术与市场营销专业的育人师资资源和育人条件更加优良。有利于营造“上学如上班、上课如上岗”的职业氛围，促进学生职业意识的启蒙、职业理想的树立、职业道德的陶冶、职业能力的培养和职业行为的养成，从而为学生全面发展打下坚实的基础。</w:t>
            </w:r>
          </w:p>
        </w:tc>
        <w:tc>
          <w:tcPr>
            <w:tcW w:w="481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学校“3+2+2”中高贯通学前教育、音乐学、云财务会计、金融事务、电子商务、互联网IT服务、新能源汽车技术与市场营销专业的育人师资资源和育人条件更加优良。为学生全面发展打下坚实的基础。</w:t>
            </w:r>
          </w:p>
        </w:tc>
      </w:tr>
      <w:tr>
        <w:tblPrEx>
          <w:tblCellMar>
            <w:top w:w="0" w:type="dxa"/>
            <w:left w:w="108" w:type="dxa"/>
            <w:bottom w:w="0" w:type="dxa"/>
            <w:right w:w="108" w:type="dxa"/>
          </w:tblCellMar>
        </w:tblPrEx>
        <w:trPr>
          <w:trHeight w:val="680" w:hRule="exact"/>
          <w:jc w:val="center"/>
        </w:trPr>
        <w:tc>
          <w:tcPr>
            <w:tcW w:w="6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0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880"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课程教学班次</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10204</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15555</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50"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教学人数</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782</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782</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50"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教学天数</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50"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教学参与度</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50"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教学覆盖率</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50"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教学合格率</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81"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项目实施</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w:t>
            </w:r>
            <w:r>
              <w:rPr>
                <w:rFonts w:ascii="仿宋_GB2312" w:hAnsi="宋体" w:eastAsia="仿宋_GB2312" w:cs="宋体"/>
                <w:kern w:val="0"/>
                <w:szCs w:val="21"/>
                <w:highlight w:val="none"/>
              </w:rPr>
              <w:t>1</w:t>
            </w:r>
            <w:r>
              <w:rPr>
                <w:rFonts w:hint="eastAsia" w:ascii="仿宋_GB2312" w:hAnsi="宋体" w:eastAsia="仿宋_GB2312" w:cs="宋体"/>
                <w:kern w:val="0"/>
                <w:szCs w:val="21"/>
                <w:highlight w:val="none"/>
              </w:rPr>
              <w:t>月</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12月</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ascii="仿宋_GB2312" w:hAnsi="宋体" w:eastAsia="仿宋_GB2312" w:cs="宋体"/>
                <w:kern w:val="0"/>
                <w:szCs w:val="21"/>
                <w:highlight w:val="none"/>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ascii="仿宋_GB2312" w:hAnsi="宋体" w:eastAsia="仿宋_GB2312" w:cs="宋体"/>
                <w:kern w:val="0"/>
                <w:szCs w:val="21"/>
                <w:highlight w:val="none"/>
              </w:rPr>
              <w:t>4</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支付12月份课酬</w:t>
            </w:r>
          </w:p>
        </w:tc>
      </w:tr>
      <w:tr>
        <w:tblPrEx>
          <w:tblCellMar>
            <w:top w:w="0" w:type="dxa"/>
            <w:left w:w="108" w:type="dxa"/>
            <w:bottom w:w="0" w:type="dxa"/>
            <w:right w:w="108" w:type="dxa"/>
          </w:tblCellMar>
        </w:tblPrEx>
        <w:trPr>
          <w:trHeight w:val="464"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总结报告</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w:t>
            </w:r>
            <w:r>
              <w:rPr>
                <w:rFonts w:ascii="仿宋_GB2312" w:hAnsi="宋体" w:eastAsia="仿宋_GB2312" w:cs="宋体"/>
                <w:kern w:val="0"/>
                <w:szCs w:val="21"/>
                <w:highlight w:val="none"/>
              </w:rPr>
              <w:t>2</w:t>
            </w:r>
            <w:r>
              <w:rPr>
                <w:rFonts w:hint="eastAsia" w:ascii="仿宋_GB2312" w:hAnsi="宋体" w:eastAsia="仿宋_GB2312" w:cs="宋体"/>
                <w:kern w:val="0"/>
                <w:szCs w:val="21"/>
                <w:highlight w:val="none"/>
              </w:rPr>
              <w:t>月</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12月</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ascii="仿宋_GB2312" w:hAnsi="宋体" w:eastAsia="仿宋_GB2312" w:cs="宋体"/>
                <w:kern w:val="0"/>
                <w:szCs w:val="21"/>
                <w:highlight w:val="none"/>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ascii="仿宋_GB2312" w:hAnsi="宋体" w:eastAsia="仿宋_GB2312" w:cs="宋体"/>
                <w:kern w:val="0"/>
                <w:szCs w:val="21"/>
                <w:highlight w:val="none"/>
              </w:rPr>
              <w:t>4</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支付12月份课酬</w:t>
            </w:r>
          </w:p>
        </w:tc>
      </w:tr>
      <w:tr>
        <w:tblPrEx>
          <w:tblCellMar>
            <w:top w:w="0" w:type="dxa"/>
            <w:left w:w="108" w:type="dxa"/>
            <w:bottom w:w="0" w:type="dxa"/>
            <w:right w:w="108" w:type="dxa"/>
          </w:tblCellMar>
        </w:tblPrEx>
        <w:trPr>
          <w:trHeight w:val="782"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项目预算控制数</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ascii="仿宋_GB2312" w:hAnsi="宋体" w:eastAsia="仿宋_GB2312" w:cs="宋体"/>
                <w:kern w:val="0"/>
                <w:szCs w:val="21"/>
                <w:highlight w:val="none"/>
              </w:rPr>
              <w:t>365.12</w:t>
            </w:r>
            <w:r>
              <w:rPr>
                <w:rFonts w:hint="eastAsia" w:ascii="仿宋_GB2312" w:hAnsi="宋体" w:eastAsia="仿宋_GB2312" w:cs="宋体"/>
                <w:kern w:val="0"/>
                <w:szCs w:val="21"/>
                <w:highlight w:val="none"/>
              </w:rPr>
              <w:t>0</w:t>
            </w:r>
            <w:r>
              <w:rPr>
                <w:rFonts w:ascii="仿宋_GB2312" w:hAnsi="宋体" w:eastAsia="仿宋_GB2312" w:cs="宋体"/>
                <w:kern w:val="0"/>
                <w:szCs w:val="21"/>
                <w:highlight w:val="none"/>
              </w:rPr>
              <w:t>000</w:t>
            </w:r>
            <w:r>
              <w:rPr>
                <w:rFonts w:hint="eastAsia" w:ascii="仿宋_GB2312" w:hAnsi="宋体" w:eastAsia="仿宋_GB2312" w:cs="宋体"/>
                <w:kern w:val="0"/>
                <w:szCs w:val="21"/>
                <w:highlight w:val="none"/>
              </w:rPr>
              <w:t>万元</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ascii="仿宋_GB2312" w:hAnsi="宋体" w:eastAsia="仿宋_GB2312" w:cs="宋体"/>
                <w:kern w:val="0"/>
                <w:szCs w:val="21"/>
                <w:highlight w:val="none"/>
              </w:rPr>
              <w:t>321</w:t>
            </w:r>
            <w:r>
              <w:rPr>
                <w:rFonts w:hint="eastAsia" w:ascii="仿宋_GB2312" w:hAnsi="宋体" w:eastAsia="仿宋_GB2312" w:cs="宋体"/>
                <w:kern w:val="0"/>
                <w:szCs w:val="21"/>
                <w:highlight w:val="none"/>
              </w:rPr>
              <w:t>.</w:t>
            </w:r>
            <w:r>
              <w:rPr>
                <w:rFonts w:ascii="仿宋_GB2312" w:hAnsi="宋体" w:eastAsia="仿宋_GB2312" w:cs="宋体"/>
                <w:kern w:val="0"/>
                <w:szCs w:val="21"/>
                <w:highlight w:val="none"/>
              </w:rPr>
              <w:t>397537</w:t>
            </w:r>
            <w:r>
              <w:rPr>
                <w:rFonts w:hint="eastAsia" w:ascii="仿宋_GB2312" w:hAnsi="宋体" w:eastAsia="仿宋_GB2312" w:cs="宋体"/>
                <w:kern w:val="0"/>
                <w:szCs w:val="21"/>
                <w:highlight w:val="none"/>
              </w:rPr>
              <w:t>万元</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ascii="仿宋_GB2312" w:hAnsi="宋体" w:eastAsia="仿宋_GB2312" w:cs="宋体"/>
                <w:kern w:val="0"/>
                <w:szCs w:val="21"/>
                <w:highlight w:val="none"/>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val="en-US" w:eastAsia="zh-CN"/>
              </w:rPr>
              <w:t>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p>
        </w:tc>
      </w:tr>
      <w:tr>
        <w:tblPrEx>
          <w:tblCellMar>
            <w:top w:w="0" w:type="dxa"/>
            <w:left w:w="108" w:type="dxa"/>
            <w:bottom w:w="0" w:type="dxa"/>
            <w:right w:w="108" w:type="dxa"/>
          </w:tblCellMar>
        </w:tblPrEx>
        <w:trPr>
          <w:trHeight w:val="464"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人均教育成本</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25.6元/天/人</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24.8元/天/人</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223"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经济性</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整体师资水平得到提升，教学质量得到提升。</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顺利完成贯通培养的教学任务</w:t>
            </w:r>
            <w:r>
              <w:rPr>
                <w:rFonts w:hint="eastAsia" w:ascii="仿宋_GB2312" w:hAnsi="宋体" w:eastAsia="仿宋_GB2312" w:cs="宋体"/>
                <w:color w:val="000000"/>
                <w:kern w:val="0"/>
                <w:szCs w:val="21"/>
              </w:rPr>
              <w:t>.</w:t>
            </w:r>
            <w:r>
              <w:rPr>
                <w:rFonts w:ascii="仿宋_GB2312" w:hAnsi="宋体" w:eastAsia="仿宋_GB2312" w:cs="宋体"/>
                <w:color w:val="000000"/>
                <w:kern w:val="0"/>
                <w:szCs w:val="21"/>
              </w:rPr>
              <w:t>有效提升了贯通培养的人才质量</w:t>
            </w:r>
            <w:r>
              <w:rPr>
                <w:rFonts w:hint="eastAsia" w:ascii="仿宋_GB2312" w:hAnsi="宋体" w:eastAsia="仿宋_GB2312" w:cs="宋体"/>
                <w:color w:val="000000"/>
                <w:kern w:val="0"/>
                <w:szCs w:val="21"/>
              </w:rPr>
              <w:t>。</w:t>
            </w:r>
            <w:r>
              <w:rPr>
                <w:rFonts w:ascii="仿宋_GB2312" w:hAnsi="宋体" w:eastAsia="仿宋_GB2312" w:cs="宋体"/>
                <w:color w:val="000000"/>
                <w:kern w:val="0"/>
                <w:szCs w:val="21"/>
              </w:rPr>
              <w:t>.资金使用合理，支出符合进度要求</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2324"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社会影响力</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学生综合职业素养与专业能力明显得到持续提升，学校贯通项目品牌影响力大幅提升，政府满意度和家长满意度得到提升。</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提高了政府、社会、学生、家长满意度</w:t>
            </w:r>
            <w:r>
              <w:rPr>
                <w:rFonts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w:t>
            </w:r>
            <w:r>
              <w:rPr>
                <w:rFonts w:ascii="仿宋_GB2312" w:hAnsi="宋体" w:eastAsia="仿宋_GB2312" w:cs="宋体"/>
                <w:color w:val="000000"/>
                <w:kern w:val="0"/>
                <w:szCs w:val="21"/>
              </w:rPr>
              <w:t> 9</w:t>
            </w: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%的学生顺利转段升入高职阶段</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15</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70" w:hRule="exact"/>
          <w:jc w:val="center"/>
        </w:trPr>
        <w:tc>
          <w:tcPr>
            <w:tcW w:w="6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4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1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学生满意度</w:t>
            </w:r>
          </w:p>
        </w:tc>
        <w:tc>
          <w:tcPr>
            <w:tcW w:w="16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Arial" w:hAnsi="Arial" w:cs="Arial"/>
                <w:color w:val="000000"/>
              </w:rPr>
              <w:t>≥95%</w:t>
            </w:r>
          </w:p>
        </w:tc>
        <w:tc>
          <w:tcPr>
            <w:tcW w:w="14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w:t>
            </w:r>
          </w:p>
        </w:tc>
        <w:tc>
          <w:tcPr>
            <w:tcW w:w="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59" w:hRule="exact"/>
          <w:jc w:val="center"/>
        </w:trPr>
        <w:tc>
          <w:tcPr>
            <w:tcW w:w="6491"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211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ascii="仿宋_GB2312" w:hAnsi="宋体" w:eastAsia="仿宋_GB2312" w:cs="宋体"/>
                <w:color w:val="000000"/>
                <w:kern w:val="0"/>
                <w:szCs w:val="21"/>
              </w:rPr>
              <w:t>9</w:t>
            </w:r>
            <w:r>
              <w:rPr>
                <w:rFonts w:hint="eastAsia" w:ascii="仿宋_GB2312" w:hAnsi="宋体" w:eastAsia="仿宋_GB2312" w:cs="宋体"/>
                <w:color w:val="000000"/>
                <w:kern w:val="0"/>
                <w:szCs w:val="21"/>
                <w:lang w:val="en-US" w:eastAsia="zh-CN"/>
              </w:rPr>
              <w:t>6.8</w:t>
            </w:r>
          </w:p>
        </w:tc>
        <w:tc>
          <w:tcPr>
            <w:tcW w:w="19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zYmFkY2E3NDQxNWJhYTI2Y2NhNDQ1Y2U1M2JmZTkifQ=="/>
  </w:docVars>
  <w:rsids>
    <w:rsidRoot w:val="F77F09F4"/>
    <w:rsid w:val="000021C2"/>
    <w:rsid w:val="000165EC"/>
    <w:rsid w:val="00025C72"/>
    <w:rsid w:val="00082328"/>
    <w:rsid w:val="001E7FC1"/>
    <w:rsid w:val="0027419B"/>
    <w:rsid w:val="004E6A23"/>
    <w:rsid w:val="005144F4"/>
    <w:rsid w:val="00595059"/>
    <w:rsid w:val="00621416"/>
    <w:rsid w:val="006B15D2"/>
    <w:rsid w:val="00896E4B"/>
    <w:rsid w:val="008C18AE"/>
    <w:rsid w:val="00A953F5"/>
    <w:rsid w:val="00B12301"/>
    <w:rsid w:val="00B201C1"/>
    <w:rsid w:val="00B905CA"/>
    <w:rsid w:val="00C54593"/>
    <w:rsid w:val="00C82F64"/>
    <w:rsid w:val="00D534E2"/>
    <w:rsid w:val="00D537AE"/>
    <w:rsid w:val="00D71808"/>
    <w:rsid w:val="00DA5B74"/>
    <w:rsid w:val="00EA50FA"/>
    <w:rsid w:val="00EF1200"/>
    <w:rsid w:val="00F22556"/>
    <w:rsid w:val="017E37F2"/>
    <w:rsid w:val="08056CCC"/>
    <w:rsid w:val="37173543"/>
    <w:rsid w:val="3FF76880"/>
    <w:rsid w:val="5016459A"/>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1140</Words>
  <Characters>1357</Characters>
  <Lines>11</Lines>
  <Paragraphs>3</Paragraphs>
  <TotalTime>28</TotalTime>
  <ScaleCrop>false</ScaleCrop>
  <LinksUpToDate>false</LinksUpToDate>
  <CharactersWithSpaces>1396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2023-04-19T12:30:00Z</dcterms:created>
  <dc:creator>user</dc:creator>
  <cp:lastModifiedBy>86134</cp:lastModifiedBy>
  <cp:lastPrinted>2022-03-24T10:01:00Z</cp:lastPrinted>
  <dcterms:modified xsi:type="dcterms:W3CDTF">2023-05-19T03:21:05Z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0D98A3ECEE8F49A6A8A9D8E0E6DCBFF6_12</vt:lpwstr>
  </property>
</Properties>
</file>