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Arial Narrow" w:hAnsi="宋体"/>
          <w:b/>
          <w:sz w:val="32"/>
          <w:szCs w:val="32"/>
        </w:rPr>
      </w:pPr>
    </w:p>
    <w:p>
      <w:pPr>
        <w:spacing w:line="560" w:lineRule="exact"/>
        <w:jc w:val="center"/>
        <w:rPr>
          <w:rFonts w:ascii="方正小标宋简体" w:eastAsia="方正小标宋简体"/>
          <w:bCs/>
          <w:spacing w:val="80"/>
          <w:kern w:val="44"/>
          <w:sz w:val="36"/>
          <w:szCs w:val="36"/>
        </w:rPr>
      </w:pPr>
      <w:r>
        <w:rPr>
          <w:rFonts w:hint="eastAsia" w:ascii="方正小标宋简体" w:eastAsia="方正小标宋简体"/>
          <w:bCs/>
          <w:spacing w:val="80"/>
          <w:kern w:val="44"/>
          <w:sz w:val="36"/>
          <w:szCs w:val="36"/>
        </w:rPr>
        <w:t>北京政法职业学院</w:t>
      </w:r>
    </w:p>
    <w:p>
      <w:pPr>
        <w:spacing w:line="560" w:lineRule="exact"/>
        <w:jc w:val="center"/>
        <w:rPr>
          <w:rFonts w:ascii="方正小标宋简体" w:eastAsia="方正小标宋简体"/>
          <w:bCs/>
          <w:spacing w:val="80"/>
          <w:kern w:val="44"/>
          <w:sz w:val="36"/>
          <w:szCs w:val="36"/>
        </w:rPr>
      </w:pPr>
      <w:r>
        <w:rPr>
          <w:rFonts w:hint="eastAsia" w:ascii="方正小标宋简体" w:eastAsia="方正小标宋简体"/>
          <w:bCs/>
          <w:spacing w:val="80"/>
          <w:kern w:val="44"/>
          <w:sz w:val="36"/>
          <w:szCs w:val="36"/>
        </w:rPr>
        <w:t>部门整体绩效评价报告</w:t>
      </w:r>
    </w:p>
    <w:p>
      <w:pPr>
        <w:adjustRightInd w:val="0"/>
        <w:snapToGrid w:val="0"/>
        <w:spacing w:line="560" w:lineRule="exact"/>
        <w:jc w:val="right"/>
        <w:rPr>
          <w:rFonts w:ascii="宋体" w:hAnsi="宋体" w:cs="Arial"/>
          <w:b/>
          <w:sz w:val="24"/>
        </w:rPr>
      </w:pPr>
    </w:p>
    <w:p>
      <w:pPr>
        <w:spacing w:line="560" w:lineRule="exact"/>
        <w:ind w:firstLine="643" w:firstLineChars="200"/>
        <w:outlineLvl w:val="0"/>
        <w:rPr>
          <w:rFonts w:ascii="黑体" w:hAnsi="黑体" w:eastAsia="黑体" w:cs="黑体"/>
          <w:b/>
          <w:bCs/>
          <w:color w:val="000000"/>
          <w:kern w:val="0"/>
          <w:sz w:val="32"/>
          <w:szCs w:val="32"/>
        </w:rPr>
      </w:pPr>
      <w:bookmarkStart w:id="0" w:name="_Toc103014811"/>
      <w:r>
        <w:rPr>
          <w:rFonts w:hint="eastAsia" w:ascii="黑体" w:hAnsi="黑体" w:eastAsia="黑体" w:cs="黑体"/>
          <w:b/>
          <w:bCs/>
          <w:color w:val="000000"/>
          <w:kern w:val="0"/>
          <w:sz w:val="32"/>
          <w:szCs w:val="32"/>
        </w:rPr>
        <w:t>一、部门概况</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（一）机构设置及职责工作任务情况</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主要职责</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学院是经北京市人民政府批准、国家教育部备案的公办全日制普通高等职业院校，隶属于中共北京市委政法委，同时接受北京市教委的业务领导，为</w:t>
      </w:r>
      <w:r>
        <w:rPr>
          <w:rFonts w:hint="eastAsia" w:ascii="仿宋_GB2312" w:hAnsi="宋体" w:eastAsia="仿宋_GB2312" w:cs="宋体"/>
          <w:color w:val="000000"/>
          <w:kern w:val="0"/>
          <w:sz w:val="32"/>
          <w:szCs w:val="32"/>
          <w:lang w:eastAsia="zh-CN"/>
        </w:rPr>
        <w:t>公益二类事业单位</w:t>
      </w:r>
      <w:bookmarkStart w:id="3" w:name="_GoBack"/>
      <w:bookmarkEnd w:id="3"/>
      <w:r>
        <w:rPr>
          <w:rFonts w:hint="eastAsia" w:ascii="仿宋_GB2312" w:hAnsi="宋体" w:eastAsia="仿宋_GB2312" w:cs="宋体"/>
          <w:color w:val="000000"/>
          <w:kern w:val="0"/>
          <w:sz w:val="32"/>
          <w:szCs w:val="32"/>
        </w:rPr>
        <w:t>。</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学院主要开展高等职业教育，举办成人高等学历教育、中等职业教育、职业培训及政法干部教育培训等。</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机构情况</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政法职业学院设置25个部门，分别是：党政办公室；组织部、统战部、党校、巡察办公室合署；宣传部；学生工作部（学生处）、武装部合署；保卫部（保卫处）；人事处（党委教师工作部）；教务处；财务处；审计处；资产管理处（加挂基建办公室牌子）；工会、机关党总支合署；团委；党校工作部；纪检监察办公室（加挂监督检查室、审查调查室牌子）；应用法律学院；现代管理学院；安防科技学院；信息媒体学院；基础学院；马克思主义学院；科研发展中心；图书馆；综合服务中心；继续教育中心；北京政法网运管中心。</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（二）部门整体绩效目标设立情况</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1.目标设定依据充分。部门整体绩效目标设定依据党中央、国务院、北京市委市政府和市教委的决策部署，符合党的教育方针，按照市财政局年度预算管理要求完成事前绩效评估等预算申报工作。</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2.目标设定与职责任务匹配。部门整体绩效目标根据 “三定”方案规定的部门职责设定，从学院承担的为党育人、为国育才责任和当年工作内容出发，确定各项工作任务目标，保障部门职责全面履行。</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3.目标设定合理可行。部门整体绩效目标设定依据客观实际，经过调查研究和科学论证，与预算额度相匹配，指标细化、量化、可考核、可评价，指导具体项目开展实施。</w:t>
      </w:r>
    </w:p>
    <w:p>
      <w:pPr>
        <w:spacing w:line="560" w:lineRule="exact"/>
        <w:ind w:firstLine="643" w:firstLineChars="200"/>
        <w:outlineLvl w:val="0"/>
        <w:rPr>
          <w:rFonts w:ascii="黑体" w:hAnsi="黑体" w:eastAsia="黑体" w:cs="黑体"/>
          <w:b/>
          <w:bCs/>
          <w:color w:val="000000"/>
          <w:kern w:val="0"/>
          <w:sz w:val="32"/>
          <w:szCs w:val="32"/>
        </w:rPr>
      </w:pPr>
      <w:r>
        <w:rPr>
          <w:rFonts w:hint="eastAsia" w:ascii="黑体" w:hAnsi="黑体" w:eastAsia="黑体" w:cs="黑体"/>
          <w:b/>
          <w:bCs/>
          <w:color w:val="000000"/>
          <w:kern w:val="0"/>
          <w:sz w:val="32"/>
          <w:szCs w:val="32"/>
        </w:rPr>
        <w:t>二、当年预算执行情况</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2022年全年预算数23,331.89万元，其中，基本支出预算数20,587.14万元，项目支出预算数2,744.75万元。资金总体支出22,555.97万元，其中，基本支出19,873.67万元，项目支出2,682.30万元。预算执行率为96.67%。</w:t>
      </w:r>
    </w:p>
    <w:p>
      <w:pPr>
        <w:spacing w:line="560" w:lineRule="exact"/>
        <w:ind w:firstLine="643" w:firstLineChars="200"/>
        <w:outlineLvl w:val="0"/>
        <w:rPr>
          <w:rFonts w:ascii="黑体" w:hAnsi="黑体" w:eastAsia="黑体" w:cs="黑体"/>
          <w:b/>
          <w:bCs/>
          <w:color w:val="000000"/>
          <w:kern w:val="0"/>
          <w:sz w:val="32"/>
          <w:szCs w:val="32"/>
        </w:rPr>
      </w:pPr>
      <w:r>
        <w:rPr>
          <w:rFonts w:hint="eastAsia" w:ascii="黑体" w:hAnsi="黑体" w:eastAsia="黑体" w:cs="黑体"/>
          <w:b/>
          <w:bCs/>
          <w:color w:val="000000"/>
          <w:kern w:val="0"/>
          <w:sz w:val="32"/>
          <w:szCs w:val="32"/>
        </w:rPr>
        <w:t>三、整体绩效目标实现情况</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（一）产出完成情况分析</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（1）持续建设在线精品课程项目</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一批12门在线精品开放课程全部建设完成，择优推荐优秀课程参加北京市及国家职业教育在线精品课程遴选建设，学院8门课程成功入选2022年北京市职业教育在线精品课程项目，3门课程成功入选2022年职业教育国家在线精品课程项目。</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（2）师资队伍建设优化升级</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名教师荣获2022年“北京市优秀教师”称号；7名教师（团队）入选北京市职业院校2022年度教师素质提高计划项目。在2022年北京市职业院校技能大赛教学能力比赛中获一等奖2个、二等奖5个、三等奖3个。3项教学成果获北京市职业教育教学成果奖二等奖。</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2.产出质量</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（1）特高专业群建设成绩显著</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保、安防、消防专业保持在全国排名第一、第二、第二的领先地位。2022年，学院获批国家在线精品课程申报2项；获批一个市级资源库项目；《智能工程造价》课程团队获得北京市教学能力比赛一等奖；《客舱突发急症救护》课程团队获得北京市教学能力比赛一等奖，获得北京市职业教育教学成果奖二等奖。</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（2）教育教学改革大力推进</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网络安全防御》等3门课程、《移动应用开发技术》等8门课程、法律文秘专业教学资源库等5个资源库分别入选2022年职业教育国家在线精品课程，北京市职业教育在线精品课程、专业教学资源库名单。《法理学》等3门课程入选北京市课程思政示范课程，授课教师和教学团队被认定为北京市课程思政教学名师和团队。</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（3）服务政法能力进一步提升</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政法”新媒体连续三届上榜中央政法委“四个一百”优秀政法新媒体榜单。北京政法网、北京政法（新媒体矩阵）分别获评“2022年度中国最具影响力政法网站”“2022年度中国最具影响力政法新媒体”。微电影《长城女子警队》获第九届亚洲微电影艺术节好作品奖。《北京政法职业学院学报》位列《中国学术期刊影响因子年报》（2022年）全国职校法律类学报影响力第一。</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3.产出进度</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各项工作完成及时性较好。根据市委市政府、市委政法委和市教委工作安排、《北京政法职业学院“十四五”时期发展规划（2021—2025年）》、学院2022年工作计划，各项工作均制定了实施方案，明确了时间进度安排与人员分工。在推进过程中，各项工作按照实施方案执行，为顺利完成绩效目标奠定了基础，保障了在规定时间完成年度各项工作任务。除个别事项受疫情影响延迟或取消外，大部分项目均按计划完成。</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4.产出成本</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学院成本控制情况较好。基本经费支出和项目经费支出均控制在预算范围内，未出现无预算或超预算支出情况。</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（二）效果实现情况分析</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1.社会效益</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（1）贯彻落实党的教育方针政策，办好人民满意的教育</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提高政治站位，</w:t>
      </w:r>
      <w:bookmarkStart w:id="1" w:name="_Hlk136024637"/>
      <w:r>
        <w:rPr>
          <w:rFonts w:hint="eastAsia" w:ascii="仿宋_GB2312" w:hAnsi="宋体" w:eastAsia="仿宋_GB2312" w:cs="宋体"/>
          <w:color w:val="000000"/>
          <w:kern w:val="0"/>
          <w:sz w:val="32"/>
          <w:szCs w:val="32"/>
        </w:rPr>
        <w:t>以习近平新时代中国特色社会主义思想为指导</w:t>
      </w:r>
      <w:bookmarkEnd w:id="1"/>
      <w:r>
        <w:rPr>
          <w:rFonts w:hint="eastAsia" w:ascii="仿宋_GB2312" w:hAnsi="宋体" w:eastAsia="仿宋_GB2312" w:cs="宋体"/>
          <w:color w:val="000000"/>
          <w:kern w:val="0"/>
          <w:sz w:val="32"/>
          <w:szCs w:val="32"/>
        </w:rPr>
        <w:t>，在办学定位、办学特色中体现党的教育方针政策。落实各项方针政策，推进学院教育教学各项事业发展，构建德智体美劳全面培养的教育体系和思想政治工作体系，坚持为党育人，为国育才。</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（2）主动融入国家战略，服务乡村振兴</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积极融入到乡村振兴国家战略中，服务基层社会治理创新，在推动基层社区建设一系列工作中扎实工作，为乡村振兴助力赋能作出了积极贡献。以创新创业大赛为抓手，助力服务乡村振兴职业人才培育，提升了专业在创新创业教育、产教融合项目落地实施等方面的水平和层次。深化产教融合，推进校企、校校合作工作，学院当选北京安防协会副理事长单位，深化与环球度假区等行业龙头企业全天候合作伙伴关系，完成与首都机场航空安保有限公司校企战略合作协议，与海康威视签订合作协议并拓展生态圈合作企业30余家，校企共同完成民航安全检查1+X中级证书考核，与大兴一职进行洽商共同申报3+2对接专业等。</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2.可持续性影响</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）发挥政法网站窗口作用，积极宣传政法正能量</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由学院主办的北京政法网立足“扩大对外宣传、展示政法形象、服务社会管理、强化互动交流”定位，以文字、图片、音视频等多种形式，大力开展普法释法，努力打造首都百姓知法学法的权威平台，组织平安北京建设网络宣传活动，成为首都百姓参与平安北京建设的重要窗口，为法治北京、平安北京建设营造了积极的网络舆论氛围。</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）意识形态阵地持续巩固</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立“周汇总、月研判、季汇报、年总结”的意识形态定期分析研判机制。紧扣党的二十大、新中国成立73周年、学院建校40周年等开展宣传工作，严格落实各类报告会、论坛等活动的审批管理制度，对校园网进行专题研判和安全巡检，强化重要节点和敏感时期的网络舆情监测与处置。</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）教育教学质量持续提升</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突出政法高职特色，进一步创新专业建设理念和机制。加大课程改革力度，持续提高课堂教学质量。加强思政课与课程思政建设，发挥课堂育人作用。持续深化教学方法改革，提高课堂教学效果。进一步推动校企深度融合，提升教师教材开发与建设水平，强化高素质技术技能人才培养。强化师德师风建设，建立常态化师德教育培训机制。</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3.服务对象满意度</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2022年，受理“12345市民服务热线”师生群众诉求，响应率、解决率、满意率均为100%。</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用人单位对学院2022届毕业生的总体满意度为100.00%。用人单位对所招聘的学院2022届毕业生的专业知识和技能的满意度为97.59%；93.98%的用人单位认为学院2022届毕业生在求职过程中表现积极。</w:t>
      </w:r>
    </w:p>
    <w:p>
      <w:pPr>
        <w:spacing w:line="560" w:lineRule="exact"/>
        <w:ind w:firstLine="643" w:firstLineChars="200"/>
        <w:outlineLvl w:val="0"/>
        <w:rPr>
          <w:rFonts w:ascii="黑体" w:hAnsi="黑体" w:eastAsia="黑体" w:cs="黑体"/>
          <w:b/>
          <w:bCs/>
          <w:color w:val="000000"/>
          <w:kern w:val="0"/>
          <w:sz w:val="32"/>
          <w:szCs w:val="32"/>
        </w:rPr>
      </w:pPr>
      <w:r>
        <w:rPr>
          <w:rFonts w:hint="eastAsia" w:ascii="黑体" w:hAnsi="黑体" w:eastAsia="黑体" w:cs="黑体"/>
          <w:b/>
          <w:bCs/>
          <w:color w:val="000000"/>
          <w:kern w:val="0"/>
          <w:sz w:val="32"/>
          <w:szCs w:val="32"/>
        </w:rPr>
        <w:t>四、预算管理情况分析</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（一）财务管理</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制度体系健全、行之有效。一是建立了完善的内控制度体系，规范预算、支出、采购、资产和绩效管理要求，不断夯实学院全面规范管理的制度基础。二是财务管理制度完备、规范。深入开展学院财务管理制度建设，规范各项财务行为，不断完善强化财务管理各环节的监督制约，做好制度上的控制和约束。三是会计核算制度完整、合规。严格按照国家统一的会计制度，设置会计账簿，进行会计核算和账务处理。</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资金使用合规、安全。一是依法依规使用资金。严格按照国家财经法规、财务管理制度规定、专项资金管理办法等规定使用资金，按规定的结算方式进行结算。二是强化资金使用审批。大额资金支出经过集体决策，资金拨付有完整的审批程序和手续。三是规范资金使用过程管理。严格按照预算批复用途使用资金，政府采购应采尽采，不存在截留、挤占、挪用、虚列支出。</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院会计基础信息真实、准确、完整。一是会计信息真实。严格依据实际发生的事项进行会计核算，夯实基础数据来源的可靠性。二是会计信息准确。加强会计监督，精确计算财务数据，规范使用会计科目，确保账实、账账、账表数据一致。三是会计信息完整。会计核算内容全面完整，会计资料及时收集整理、全面归档、妥善保管。</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（二）资产管理</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严控预算，优化资源配置，严格执行日常办公设备和通用软件资产配置标准。二是规范资产使用，开展资产清查，不存在未经批准擅自出租出借行为。三是规范资产处置，不存在不按要求进行报批或资产不公开处置行为。</w:t>
      </w:r>
    </w:p>
    <w:p>
      <w:pPr>
        <w:spacing w:line="56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（三）绩效管理</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严格落实绩效管理相关要求，加强绩效管理信息的汇总和应用，深化半年度绩效监控，及时对绩效监控信息进行收集、审核、分析、汇总，对发现的问题和风险进行研判，及时纠偏。</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（四）结转结余率</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2022年底，学院结转结余资金775.92万元，支出预算数23,331.89万元，结转结余率3.33%，比2021年7.72%下降4.39%。</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（五）部门预决算差异率</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2022年，学院年初预算批复数为23,523.82万元，决算数为23,331.89万元，差异191.92万元，差异率0.82%。</w:t>
      </w:r>
    </w:p>
    <w:p>
      <w:pPr>
        <w:spacing w:line="560" w:lineRule="exact"/>
        <w:ind w:firstLine="643" w:firstLineChars="200"/>
        <w:outlineLvl w:val="0"/>
        <w:rPr>
          <w:rFonts w:ascii="黑体" w:hAnsi="黑体" w:eastAsia="黑体" w:cs="黑体"/>
          <w:b/>
          <w:bCs/>
          <w:color w:val="000000"/>
          <w:kern w:val="0"/>
          <w:sz w:val="32"/>
          <w:szCs w:val="32"/>
        </w:rPr>
      </w:pPr>
      <w:r>
        <w:rPr>
          <w:rFonts w:hint="eastAsia" w:ascii="黑体" w:hAnsi="黑体" w:eastAsia="黑体" w:cs="黑体"/>
          <w:b/>
          <w:bCs/>
          <w:color w:val="000000"/>
          <w:kern w:val="0"/>
          <w:sz w:val="32"/>
          <w:szCs w:val="32"/>
        </w:rPr>
        <w:t>五、总体评价结论</w:t>
      </w:r>
    </w:p>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（一）评价得分情况</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经过全面、系统和客观的分析，学院2022年部门整体绩效评价得分为92.13分，综合评价等级为“优秀”。</w:t>
      </w:r>
    </w:p>
    <w:p>
      <w:pPr>
        <w:spacing w:line="560" w:lineRule="exact"/>
        <w:jc w:val="center"/>
        <w:rPr>
          <w:rFonts w:ascii="宋体" w:hAnsi="宋体"/>
          <w:b/>
          <w:kern w:val="0"/>
          <w:sz w:val="28"/>
          <w:szCs w:val="28"/>
        </w:rPr>
      </w:pPr>
      <w:r>
        <w:rPr>
          <w:rFonts w:hint="eastAsia" w:ascii="宋体" w:hAnsi="宋体"/>
          <w:b/>
          <w:kern w:val="0"/>
          <w:sz w:val="28"/>
          <w:szCs w:val="28"/>
        </w:rPr>
        <w:t>部门整体绩效评价结论一览表</w:t>
      </w:r>
    </w:p>
    <w:tbl>
      <w:tblPr>
        <w:tblStyle w:val="12"/>
        <w:tblW w:w="8729" w:type="dxa"/>
        <w:jc w:val="center"/>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Layout w:type="fixed"/>
        <w:tblCellMar>
          <w:top w:w="0" w:type="dxa"/>
          <w:left w:w="57" w:type="dxa"/>
          <w:bottom w:w="0" w:type="dxa"/>
          <w:right w:w="57" w:type="dxa"/>
        </w:tblCellMar>
      </w:tblPr>
      <w:tblGrid>
        <w:gridCol w:w="2916"/>
        <w:gridCol w:w="3123"/>
        <w:gridCol w:w="2690"/>
      </w:tblGrid>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firstLine="562"/>
              <w:rPr>
                <w:rFonts w:ascii="宋体" w:hAnsi="宋体"/>
                <w:b/>
                <w:kern w:val="0"/>
                <w:sz w:val="18"/>
                <w:szCs w:val="18"/>
              </w:rPr>
            </w:pPr>
            <w:r>
              <w:rPr>
                <w:rFonts w:hint="eastAsia" w:ascii="宋体" w:hAnsi="宋体"/>
                <w:b/>
                <w:kern w:val="0"/>
                <w:sz w:val="18"/>
                <w:szCs w:val="18"/>
              </w:rPr>
              <w:t>评价内容</w:t>
            </w:r>
          </w:p>
        </w:tc>
        <w:tc>
          <w:tcPr>
            <w:tcW w:w="3123" w:type="dxa"/>
            <w:shd w:val="clear" w:color="auto" w:fill="auto"/>
            <w:vAlign w:val="center"/>
          </w:tcPr>
          <w:p>
            <w:pPr>
              <w:adjustRightInd w:val="0"/>
              <w:snapToGrid w:val="0"/>
              <w:spacing w:line="560" w:lineRule="exact"/>
              <w:jc w:val="center"/>
              <w:rPr>
                <w:rFonts w:ascii="宋体" w:hAnsi="宋体"/>
                <w:b/>
                <w:sz w:val="18"/>
                <w:szCs w:val="18"/>
              </w:rPr>
            </w:pPr>
            <w:r>
              <w:rPr>
                <w:rFonts w:hint="eastAsia" w:ascii="宋体" w:hAnsi="宋体"/>
                <w:b/>
                <w:sz w:val="18"/>
                <w:szCs w:val="18"/>
              </w:rPr>
              <w:t>分值</w:t>
            </w:r>
          </w:p>
        </w:tc>
        <w:tc>
          <w:tcPr>
            <w:tcW w:w="2690" w:type="dxa"/>
            <w:shd w:val="clear" w:color="auto" w:fill="auto"/>
            <w:vAlign w:val="center"/>
          </w:tcPr>
          <w:p>
            <w:pPr>
              <w:widowControl/>
              <w:adjustRightInd w:val="0"/>
              <w:snapToGrid w:val="0"/>
              <w:spacing w:line="560" w:lineRule="exact"/>
              <w:ind w:right="-57" w:rightChars="-27"/>
              <w:jc w:val="center"/>
              <w:rPr>
                <w:rFonts w:ascii="宋体" w:hAnsi="宋体"/>
                <w:b/>
                <w:sz w:val="18"/>
                <w:szCs w:val="18"/>
              </w:rPr>
            </w:pPr>
            <w:r>
              <w:rPr>
                <w:rFonts w:hint="eastAsia" w:ascii="宋体" w:hAnsi="宋体"/>
                <w:b/>
                <w:sz w:val="18"/>
                <w:szCs w:val="18"/>
              </w:rPr>
              <w:t>评价得分</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jc w:val="left"/>
              <w:rPr>
                <w:rFonts w:ascii="宋体" w:hAnsi="宋体"/>
                <w:bCs/>
                <w:kern w:val="0"/>
                <w:sz w:val="18"/>
                <w:szCs w:val="18"/>
              </w:rPr>
            </w:pPr>
            <w:r>
              <w:rPr>
                <w:rFonts w:hint="eastAsia" w:ascii="宋体" w:hAnsi="宋体"/>
                <w:bCs/>
                <w:kern w:val="0"/>
                <w:sz w:val="18"/>
                <w:szCs w:val="18"/>
              </w:rPr>
              <w:t>当年预算执行情况</w:t>
            </w:r>
          </w:p>
        </w:tc>
        <w:tc>
          <w:tcPr>
            <w:tcW w:w="3123"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20.00</w:t>
            </w:r>
          </w:p>
        </w:tc>
        <w:tc>
          <w:tcPr>
            <w:tcW w:w="2690"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19.33</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jc w:val="left"/>
              <w:rPr>
                <w:rFonts w:ascii="宋体" w:hAnsi="宋体"/>
                <w:bCs/>
                <w:kern w:val="0"/>
                <w:sz w:val="18"/>
                <w:szCs w:val="18"/>
              </w:rPr>
            </w:pPr>
            <w:r>
              <w:rPr>
                <w:rFonts w:hint="eastAsia" w:ascii="宋体" w:hAnsi="宋体"/>
                <w:bCs/>
                <w:kern w:val="0"/>
                <w:sz w:val="18"/>
                <w:szCs w:val="18"/>
              </w:rPr>
              <w:t>整体绩效目标实现情况</w:t>
            </w:r>
          </w:p>
        </w:tc>
        <w:tc>
          <w:tcPr>
            <w:tcW w:w="3123"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60.00</w:t>
            </w:r>
          </w:p>
        </w:tc>
        <w:tc>
          <w:tcPr>
            <w:tcW w:w="2690"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53.</w:t>
            </w:r>
            <w:r>
              <w:rPr>
                <w:rFonts w:hint="eastAsia" w:ascii="Arial Narrow" w:hAnsi="Arial Narrow"/>
                <w:bCs/>
                <w:sz w:val="18"/>
                <w:szCs w:val="18"/>
              </w:rPr>
              <w:t>2</w:t>
            </w:r>
            <w:r>
              <w:rPr>
                <w:rFonts w:ascii="Arial Narrow" w:hAnsi="Arial Narrow"/>
                <w:bCs/>
                <w:sz w:val="18"/>
                <w:szCs w:val="18"/>
              </w:rPr>
              <w:t>0</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jc w:val="left"/>
              <w:rPr>
                <w:rFonts w:ascii="宋体" w:hAnsi="宋体"/>
                <w:bCs/>
                <w:kern w:val="0"/>
                <w:sz w:val="18"/>
                <w:szCs w:val="18"/>
              </w:rPr>
            </w:pPr>
            <w:r>
              <w:rPr>
                <w:rFonts w:hint="eastAsia" w:ascii="宋体" w:hAnsi="宋体"/>
                <w:bCs/>
                <w:kern w:val="0"/>
                <w:sz w:val="18"/>
                <w:szCs w:val="18"/>
              </w:rPr>
              <w:t>预算管理情况</w:t>
            </w:r>
          </w:p>
        </w:tc>
        <w:tc>
          <w:tcPr>
            <w:tcW w:w="3123"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20.00</w:t>
            </w:r>
          </w:p>
        </w:tc>
        <w:tc>
          <w:tcPr>
            <w:tcW w:w="2690" w:type="dxa"/>
            <w:shd w:val="clear" w:color="auto" w:fill="auto"/>
            <w:vAlign w:val="center"/>
          </w:tcPr>
          <w:p>
            <w:pPr>
              <w:adjustRightInd w:val="0"/>
              <w:snapToGrid w:val="0"/>
              <w:spacing w:line="560" w:lineRule="exact"/>
              <w:ind w:right="-57" w:rightChars="-27"/>
              <w:jc w:val="center"/>
              <w:rPr>
                <w:rFonts w:ascii="Arial Narrow" w:hAnsi="Arial Narrow"/>
                <w:bCs/>
                <w:sz w:val="18"/>
                <w:szCs w:val="18"/>
              </w:rPr>
            </w:pPr>
            <w:r>
              <w:rPr>
                <w:rFonts w:ascii="Arial Narrow" w:hAnsi="Arial Narrow"/>
                <w:bCs/>
                <w:sz w:val="18"/>
                <w:szCs w:val="18"/>
              </w:rPr>
              <w:t>19.</w:t>
            </w:r>
            <w:r>
              <w:rPr>
                <w:rFonts w:hint="eastAsia" w:ascii="Arial Narrow" w:hAnsi="Arial Narrow"/>
                <w:bCs/>
                <w:sz w:val="18"/>
                <w:szCs w:val="18"/>
              </w:rPr>
              <w:t>6</w:t>
            </w:r>
            <w:r>
              <w:rPr>
                <w:rFonts w:ascii="Arial Narrow" w:hAnsi="Arial Narrow"/>
                <w:bCs/>
                <w:sz w:val="18"/>
                <w:szCs w:val="18"/>
              </w:rPr>
              <w:t>0</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jc w:val="left"/>
              <w:rPr>
                <w:rFonts w:ascii="宋体" w:hAnsi="宋体"/>
                <w:b/>
                <w:bCs/>
                <w:kern w:val="0"/>
                <w:sz w:val="18"/>
                <w:szCs w:val="18"/>
              </w:rPr>
            </w:pPr>
            <w:r>
              <w:rPr>
                <w:rFonts w:hint="eastAsia" w:ascii="宋体" w:hAnsi="宋体"/>
                <w:b/>
                <w:bCs/>
                <w:kern w:val="0"/>
                <w:sz w:val="18"/>
                <w:szCs w:val="18"/>
              </w:rPr>
              <w:t>综合得分</w:t>
            </w:r>
          </w:p>
        </w:tc>
        <w:tc>
          <w:tcPr>
            <w:tcW w:w="3123" w:type="dxa"/>
            <w:shd w:val="clear" w:color="auto" w:fill="auto"/>
            <w:vAlign w:val="center"/>
          </w:tcPr>
          <w:p>
            <w:pPr>
              <w:adjustRightInd w:val="0"/>
              <w:snapToGrid w:val="0"/>
              <w:spacing w:line="560" w:lineRule="exact"/>
              <w:ind w:right="-57" w:rightChars="-27"/>
              <w:jc w:val="center"/>
              <w:rPr>
                <w:rFonts w:ascii="Arial Narrow" w:hAnsi="Arial Narrow"/>
                <w:b/>
                <w:bCs/>
                <w:sz w:val="18"/>
                <w:szCs w:val="18"/>
              </w:rPr>
            </w:pPr>
            <w:r>
              <w:rPr>
                <w:rFonts w:ascii="Arial Narrow" w:hAnsi="Arial Narrow"/>
                <w:b/>
                <w:bCs/>
                <w:sz w:val="18"/>
                <w:szCs w:val="18"/>
              </w:rPr>
              <w:t>100.00</w:t>
            </w:r>
          </w:p>
        </w:tc>
        <w:tc>
          <w:tcPr>
            <w:tcW w:w="2690" w:type="dxa"/>
            <w:shd w:val="clear" w:color="auto" w:fill="auto"/>
            <w:vAlign w:val="center"/>
          </w:tcPr>
          <w:p>
            <w:pPr>
              <w:adjustRightInd w:val="0"/>
              <w:snapToGrid w:val="0"/>
              <w:spacing w:line="560" w:lineRule="exact"/>
              <w:ind w:right="-57" w:rightChars="-27"/>
              <w:jc w:val="center"/>
              <w:rPr>
                <w:rFonts w:ascii="Arial Narrow" w:hAnsi="Arial Narrow"/>
                <w:b/>
                <w:bCs/>
                <w:sz w:val="18"/>
                <w:szCs w:val="18"/>
              </w:rPr>
            </w:pPr>
            <w:r>
              <w:rPr>
                <w:rFonts w:hint="eastAsia" w:ascii="Arial Narrow" w:hAnsi="Arial Narrow"/>
                <w:b/>
                <w:bCs/>
                <w:sz w:val="18"/>
                <w:szCs w:val="18"/>
              </w:rPr>
              <w:t>92.13</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40" w:hRule="atLeast"/>
          <w:jc w:val="center"/>
        </w:trPr>
        <w:tc>
          <w:tcPr>
            <w:tcW w:w="2916" w:type="dxa"/>
            <w:shd w:val="clear" w:color="auto" w:fill="auto"/>
            <w:vAlign w:val="center"/>
          </w:tcPr>
          <w:p>
            <w:pPr>
              <w:widowControl/>
              <w:adjustRightInd w:val="0"/>
              <w:snapToGrid w:val="0"/>
              <w:spacing w:line="560" w:lineRule="exact"/>
              <w:ind w:right="-57" w:rightChars="-27"/>
              <w:jc w:val="left"/>
              <w:rPr>
                <w:rFonts w:ascii="宋体" w:hAnsi="宋体"/>
                <w:b/>
                <w:bCs/>
                <w:kern w:val="0"/>
                <w:sz w:val="18"/>
                <w:szCs w:val="18"/>
              </w:rPr>
            </w:pPr>
            <w:r>
              <w:rPr>
                <w:rFonts w:hint="eastAsia" w:ascii="宋体" w:hAnsi="宋体"/>
                <w:b/>
                <w:bCs/>
                <w:kern w:val="0"/>
                <w:sz w:val="18"/>
                <w:szCs w:val="18"/>
              </w:rPr>
              <w:t>绩效评定级别</w:t>
            </w:r>
          </w:p>
        </w:tc>
        <w:tc>
          <w:tcPr>
            <w:tcW w:w="5813" w:type="dxa"/>
            <w:gridSpan w:val="2"/>
            <w:shd w:val="clear" w:color="auto" w:fill="auto"/>
            <w:vAlign w:val="center"/>
          </w:tcPr>
          <w:p>
            <w:pPr>
              <w:adjustRightInd w:val="0"/>
              <w:snapToGrid w:val="0"/>
              <w:spacing w:line="560" w:lineRule="exact"/>
              <w:jc w:val="center"/>
              <w:rPr>
                <w:rFonts w:ascii="宋体" w:hAnsi="宋体"/>
                <w:b/>
                <w:bCs/>
                <w:sz w:val="18"/>
                <w:szCs w:val="18"/>
              </w:rPr>
            </w:pPr>
            <w:r>
              <w:rPr>
                <w:rFonts w:hint="eastAsia" w:ascii="宋体" w:hAnsi="宋体"/>
                <w:b/>
                <w:bCs/>
                <w:sz w:val="18"/>
                <w:szCs w:val="18"/>
              </w:rPr>
              <w:t>优秀</w:t>
            </w:r>
          </w:p>
        </w:tc>
      </w:tr>
    </w:tbl>
    <w:p>
      <w:pPr>
        <w:spacing w:line="600" w:lineRule="exact"/>
        <w:ind w:firstLine="640" w:firstLineChars="200"/>
        <w:rPr>
          <w:rFonts w:ascii="楷体_GB2312" w:eastAsia="楷体_GB2312" w:cstheme="minorBidi"/>
          <w:sz w:val="32"/>
          <w:szCs w:val="32"/>
        </w:rPr>
      </w:pPr>
      <w:r>
        <w:rPr>
          <w:rFonts w:hint="eastAsia" w:ascii="楷体_GB2312" w:eastAsia="楷体_GB2312" w:cstheme="minorBidi"/>
          <w:sz w:val="32"/>
          <w:szCs w:val="32"/>
        </w:rPr>
        <w:t>（二）存在的问题及原因分析</w:t>
      </w:r>
    </w:p>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部门整体绩效目标中部分指标设定不够全面。2022年，学院效益指标设定完整，产出指标中数量指标、质量指标、时效指标和成本指标未明确设定。</w:t>
      </w:r>
    </w:p>
    <w:p>
      <w:pPr>
        <w:spacing w:line="560" w:lineRule="exact"/>
        <w:ind w:firstLine="643" w:firstLineChars="200"/>
        <w:outlineLvl w:val="0"/>
        <w:rPr>
          <w:rFonts w:ascii="黑体" w:hAnsi="黑体" w:eastAsia="黑体" w:cs="黑体"/>
          <w:b/>
          <w:bCs/>
          <w:color w:val="000000"/>
          <w:kern w:val="0"/>
          <w:sz w:val="32"/>
          <w:szCs w:val="32"/>
        </w:rPr>
      </w:pPr>
      <w:r>
        <w:rPr>
          <w:rFonts w:hint="eastAsia" w:ascii="黑体" w:hAnsi="黑体" w:eastAsia="黑体" w:cs="黑体"/>
          <w:b/>
          <w:bCs/>
          <w:color w:val="000000"/>
          <w:kern w:val="0"/>
          <w:sz w:val="32"/>
          <w:szCs w:val="32"/>
        </w:rPr>
        <w:t>六、措施建议</w:t>
      </w:r>
    </w:p>
    <w:p>
      <w:pPr>
        <w:spacing w:line="560" w:lineRule="exact"/>
        <w:rPr>
          <w:rFonts w:ascii="仿宋_GB2312" w:hAnsi="宋体" w:eastAsia="仿宋_GB2312" w:cs="宋体"/>
          <w:color w:val="000000"/>
          <w:kern w:val="0"/>
          <w:sz w:val="32"/>
          <w:szCs w:val="32"/>
        </w:rPr>
      </w:pPr>
      <w:r>
        <w:rPr>
          <w:rFonts w:hint="eastAsia" w:ascii="宋体" w:hAnsi="宋体" w:cs="仿宋_GB2312"/>
          <w:color w:val="000000"/>
          <w:kern w:val="0"/>
          <w:sz w:val="28"/>
          <w:szCs w:val="28"/>
        </w:rPr>
        <w:t xml:space="preserve"> </w:t>
      </w:r>
      <w:r>
        <w:rPr>
          <w:rFonts w:ascii="宋体" w:hAnsi="宋体" w:cs="仿宋_GB2312"/>
          <w:color w:val="000000"/>
          <w:kern w:val="0"/>
          <w:sz w:val="28"/>
          <w:szCs w:val="28"/>
        </w:rPr>
        <w:t xml:space="preserve">   </w:t>
      </w:r>
      <w:r>
        <w:rPr>
          <w:rFonts w:hint="eastAsia" w:ascii="仿宋_GB2312" w:hAnsi="宋体" w:eastAsia="仿宋_GB2312" w:cs="宋体"/>
          <w:color w:val="000000"/>
          <w:kern w:val="0"/>
          <w:sz w:val="32"/>
          <w:szCs w:val="32"/>
        </w:rPr>
        <w:t>增强绩效目标设定的全面性。一是提高绩效目标“活动”内容的全面性。二是提高绩效目标“绩效指标”内容的全面性。</w:t>
      </w:r>
    </w:p>
    <w:bookmarkEnd w:id="0"/>
    <w:p>
      <w:pPr>
        <w:spacing w:line="560" w:lineRule="exact"/>
        <w:ind w:firstLine="560" w:firstLineChars="200"/>
        <w:rPr>
          <w:rFonts w:asciiTheme="minorEastAsia" w:hAnsiTheme="minorEastAsia" w:eastAsiaTheme="minorEastAsia"/>
          <w:sz w:val="28"/>
          <w:szCs w:val="28"/>
        </w:rPr>
      </w:pPr>
      <w:bookmarkStart w:id="2" w:name="_Toc103014812"/>
    </w:p>
    <w:bookmarkEnd w:id="2"/>
    <w:p>
      <w:pPr>
        <w:pStyle w:val="2"/>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附件：2022年部门整体绩效评价指标体系评分表</w:t>
      </w:r>
    </w:p>
    <w:p>
      <w:pPr>
        <w:spacing w:line="560" w:lineRule="exact"/>
        <w:ind w:firstLine="420" w:firstLineChars="200"/>
      </w:pPr>
    </w:p>
    <w:p>
      <w:pPr>
        <w:snapToGrid w:val="0"/>
        <w:spacing w:line="560" w:lineRule="exact"/>
        <w:ind w:right="1120" w:firstLine="560" w:firstLineChars="200"/>
        <w:jc w:val="right"/>
        <w:rPr>
          <w:rFonts w:ascii="宋体" w:hAnsi="宋体"/>
          <w:sz w:val="28"/>
          <w:szCs w:val="28"/>
        </w:rPr>
        <w:sectPr>
          <w:pgSz w:w="11906" w:h="16838"/>
          <w:pgMar w:top="1440" w:right="1474" w:bottom="1440" w:left="1588" w:header="851" w:footer="992" w:gutter="0"/>
          <w:pgNumType w:start="1"/>
          <w:cols w:space="425" w:num="1"/>
          <w:docGrid w:type="lines" w:linePitch="312" w:charSpace="0"/>
        </w:sectPr>
      </w:pPr>
    </w:p>
    <w:p>
      <w:pPr>
        <w:spacing w:line="56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附件：</w:t>
      </w:r>
    </w:p>
    <w:tbl>
      <w:tblPr>
        <w:tblStyle w:val="12"/>
        <w:tblW w:w="5000" w:type="pct"/>
        <w:tblInd w:w="0" w:type="dxa"/>
        <w:tblLayout w:type="autofit"/>
        <w:tblCellMar>
          <w:top w:w="0" w:type="dxa"/>
          <w:left w:w="108" w:type="dxa"/>
          <w:bottom w:w="0" w:type="dxa"/>
          <w:right w:w="108" w:type="dxa"/>
        </w:tblCellMar>
      </w:tblPr>
      <w:tblGrid>
        <w:gridCol w:w="828"/>
        <w:gridCol w:w="828"/>
        <w:gridCol w:w="1134"/>
        <w:gridCol w:w="1134"/>
        <w:gridCol w:w="828"/>
        <w:gridCol w:w="626"/>
        <w:gridCol w:w="1236"/>
        <w:gridCol w:w="3702"/>
        <w:gridCol w:w="3858"/>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spacing w:after="156" w:afterLines="50"/>
              <w:jc w:val="center"/>
              <w:rPr>
                <w:rFonts w:ascii="方正小标宋简体" w:hAnsi="黑体" w:eastAsia="方正小标宋简体" w:cs="宋体"/>
                <w:color w:val="000000"/>
                <w:kern w:val="0"/>
                <w:sz w:val="44"/>
                <w:szCs w:val="44"/>
              </w:rPr>
            </w:pPr>
            <w:r>
              <w:rPr>
                <w:rFonts w:ascii="方正小标宋简体" w:hAnsi="黑体" w:eastAsia="方正小标宋简体" w:cs="宋体"/>
                <w:color w:val="000000"/>
                <w:kern w:val="0"/>
                <w:sz w:val="44"/>
                <w:szCs w:val="44"/>
              </w:rPr>
              <w:t>2022年部门整体绩效评价指标体系评分表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w:t>
            </w:r>
            <w:r>
              <w:rPr>
                <w:rFonts w:hint="eastAsia" w:ascii="宋体" w:hAnsi="宋体" w:cs="宋体"/>
                <w:kern w:val="0"/>
                <w:sz w:val="20"/>
                <w:szCs w:val="20"/>
              </w:rPr>
              <w:t>当年预算执行情况（</w:t>
            </w:r>
            <w:r>
              <w:rPr>
                <w:rFonts w:ascii="宋体" w:hAnsi="宋体" w:cs="宋体"/>
                <w:kern w:val="0"/>
                <w:sz w:val="20"/>
                <w:szCs w:val="20"/>
              </w:rPr>
              <w:t>20分）</w:t>
            </w:r>
          </w:p>
        </w:tc>
      </w:tr>
      <w:tr>
        <w:tblPrEx>
          <w:tblCellMar>
            <w:top w:w="0" w:type="dxa"/>
            <w:left w:w="108" w:type="dxa"/>
            <w:bottom w:w="0" w:type="dxa"/>
            <w:right w:w="108" w:type="dxa"/>
          </w:tblCellMar>
        </w:tblPrEx>
        <w:trPr>
          <w:trHeight w:val="660" w:hRule="atLeast"/>
        </w:trPr>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r>
              <w:rPr>
                <w:rFonts w:hint="eastAsia" w:ascii="宋体" w:hAnsi="宋体" w:cs="宋体"/>
                <w:kern w:val="0"/>
                <w:sz w:val="20"/>
                <w:szCs w:val="20"/>
              </w:rPr>
              <w:t>　</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r>
              <w:rPr>
                <w:rFonts w:hint="eastAsia" w:ascii="宋体" w:hAnsi="宋体" w:cs="宋体"/>
                <w:kern w:val="0"/>
                <w:sz w:val="20"/>
                <w:szCs w:val="20"/>
              </w:rPr>
              <w:t>　</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预算数（万元）</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执行数（万元）</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预算执行率</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指标解释</w:t>
            </w:r>
          </w:p>
        </w:tc>
        <w:tc>
          <w:tcPr>
            <w:tcW w:w="13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trHeight w:val="630" w:hRule="atLeast"/>
        </w:trPr>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当年预算执行情况（</w:t>
            </w:r>
            <w:r>
              <w:rPr>
                <w:rFonts w:ascii="宋体" w:hAnsi="宋体" w:cs="宋体"/>
                <w:kern w:val="0"/>
                <w:sz w:val="20"/>
                <w:szCs w:val="20"/>
              </w:rPr>
              <w:t>20）</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w:t>
            </w:r>
          </w:p>
          <w:p>
            <w:pPr>
              <w:widowControl/>
              <w:jc w:val="center"/>
              <w:rPr>
                <w:rFonts w:ascii="宋体" w:hAnsi="宋体" w:cs="宋体"/>
                <w:kern w:val="0"/>
                <w:sz w:val="20"/>
                <w:szCs w:val="20"/>
              </w:rPr>
            </w:pPr>
            <w:r>
              <w:rPr>
                <w:rFonts w:hint="eastAsia" w:ascii="宋体" w:hAnsi="宋体" w:cs="宋体"/>
                <w:kern w:val="0"/>
                <w:sz w:val="20"/>
                <w:szCs w:val="20"/>
              </w:rPr>
              <w:t>总体</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23,331.89</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22</w:t>
            </w:r>
            <w:r>
              <w:rPr>
                <w:rFonts w:hint="eastAsia" w:ascii="宋体" w:hAnsi="宋体" w:cs="宋体"/>
                <w:kern w:val="0"/>
                <w:sz w:val="20"/>
                <w:szCs w:val="20"/>
              </w:rPr>
              <w:t>,</w:t>
            </w:r>
            <w:r>
              <w:rPr>
                <w:rFonts w:ascii="宋体" w:hAnsi="宋体" w:cs="宋体"/>
                <w:kern w:val="0"/>
                <w:sz w:val="20"/>
                <w:szCs w:val="20"/>
              </w:rPr>
              <w:t>555.97</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96.67%</w:t>
            </w:r>
          </w:p>
        </w:tc>
        <w:tc>
          <w:tcPr>
            <w:tcW w:w="22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20</w:t>
            </w:r>
          </w:p>
        </w:tc>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19.33</w:t>
            </w:r>
          </w:p>
        </w:tc>
        <w:tc>
          <w:tcPr>
            <w:tcW w:w="130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部门全年执行数与全年预算数的比率。资金总体</w:t>
            </w:r>
            <w:r>
              <w:rPr>
                <w:rFonts w:ascii="宋体" w:hAnsi="宋体" w:cs="宋体"/>
                <w:kern w:val="0"/>
                <w:sz w:val="18"/>
                <w:szCs w:val="18"/>
              </w:rPr>
              <w:t>=基本支出+项目支出+其他</w:t>
            </w:r>
          </w:p>
        </w:tc>
        <w:tc>
          <w:tcPr>
            <w:tcW w:w="13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①得分一档最高不能超过该指标分值上限（</w:t>
            </w:r>
            <w:r>
              <w:rPr>
                <w:rFonts w:ascii="宋体" w:hAnsi="宋体" w:cs="宋体"/>
                <w:kern w:val="0"/>
                <w:sz w:val="18"/>
                <w:szCs w:val="18"/>
              </w:rPr>
              <w:t>20分）。</w:t>
            </w:r>
            <w:r>
              <w:rPr>
                <w:rFonts w:ascii="宋体" w:hAnsi="宋体" w:cs="宋体"/>
                <w:kern w:val="0"/>
                <w:sz w:val="18"/>
                <w:szCs w:val="18"/>
              </w:rPr>
              <w:br w:type="textWrapping"/>
            </w:r>
            <w:r>
              <w:rPr>
                <w:rFonts w:hint="eastAsia" w:ascii="宋体" w:hAnsi="宋体" w:cs="宋体"/>
                <w:kern w:val="0"/>
                <w:sz w:val="18"/>
                <w:szCs w:val="18"/>
              </w:rPr>
              <w:t>②该指标若为正向指标，则得分计算方法应用全年实际值（</w:t>
            </w:r>
            <w:r>
              <w:rPr>
                <w:rFonts w:ascii="宋体" w:hAnsi="宋体" w:cs="宋体"/>
                <w:kern w:val="0"/>
                <w:sz w:val="18"/>
                <w:szCs w:val="18"/>
              </w:rPr>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基本</w:t>
            </w:r>
          </w:p>
          <w:p>
            <w:pPr>
              <w:widowControl/>
              <w:jc w:val="center"/>
              <w:rPr>
                <w:rFonts w:ascii="宋体" w:hAnsi="宋体" w:cs="宋体"/>
                <w:kern w:val="0"/>
                <w:sz w:val="20"/>
                <w:szCs w:val="20"/>
              </w:rPr>
            </w:pPr>
            <w:r>
              <w:rPr>
                <w:rFonts w:hint="eastAsia" w:ascii="宋体" w:hAnsi="宋体" w:cs="宋体"/>
                <w:kern w:val="0"/>
                <w:sz w:val="20"/>
                <w:szCs w:val="20"/>
              </w:rPr>
              <w:t>支出</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20</w:t>
            </w:r>
            <w:r>
              <w:rPr>
                <w:rFonts w:hint="eastAsia" w:ascii="宋体" w:hAnsi="宋体" w:cs="宋体"/>
                <w:kern w:val="0"/>
                <w:sz w:val="20"/>
                <w:szCs w:val="20"/>
              </w:rPr>
              <w:t>,</w:t>
            </w:r>
            <w:r>
              <w:rPr>
                <w:rFonts w:ascii="宋体" w:hAnsi="宋体" w:cs="宋体"/>
                <w:kern w:val="0"/>
                <w:sz w:val="20"/>
                <w:szCs w:val="20"/>
              </w:rPr>
              <w:t>587.14</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19,873.67</w:t>
            </w:r>
          </w:p>
        </w:tc>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2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36"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15"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w:t>
            </w:r>
          </w:p>
          <w:p>
            <w:pPr>
              <w:widowControl/>
              <w:jc w:val="center"/>
              <w:rPr>
                <w:rFonts w:ascii="宋体" w:hAnsi="宋体" w:cs="宋体"/>
                <w:kern w:val="0"/>
                <w:sz w:val="20"/>
                <w:szCs w:val="20"/>
              </w:rPr>
            </w:pPr>
            <w:r>
              <w:rPr>
                <w:rFonts w:hint="eastAsia" w:ascii="宋体" w:hAnsi="宋体" w:cs="宋体"/>
                <w:kern w:val="0"/>
                <w:sz w:val="20"/>
                <w:szCs w:val="20"/>
              </w:rPr>
              <w:t>支出</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r>
              <w:rPr>
                <w:rFonts w:hint="eastAsia" w:ascii="宋体" w:hAnsi="宋体" w:cs="宋体"/>
                <w:kern w:val="0"/>
                <w:sz w:val="20"/>
                <w:szCs w:val="20"/>
              </w:rPr>
              <w:t>,</w:t>
            </w:r>
            <w:r>
              <w:rPr>
                <w:rFonts w:ascii="宋体" w:hAnsi="宋体" w:cs="宋体"/>
                <w:kern w:val="0"/>
                <w:sz w:val="20"/>
                <w:szCs w:val="20"/>
              </w:rPr>
              <w:t>744.75</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r>
              <w:rPr>
                <w:rFonts w:hint="eastAsia" w:ascii="宋体" w:hAnsi="宋体" w:cs="宋体"/>
                <w:kern w:val="0"/>
                <w:sz w:val="20"/>
                <w:szCs w:val="20"/>
              </w:rPr>
              <w:t>,</w:t>
            </w:r>
            <w:r>
              <w:rPr>
                <w:rFonts w:ascii="宋体" w:hAnsi="宋体" w:cs="宋体"/>
                <w:kern w:val="0"/>
                <w:sz w:val="20"/>
                <w:szCs w:val="20"/>
              </w:rPr>
              <w:t>682.30</w:t>
            </w: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36"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136"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　</w:t>
            </w: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36"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w:t>
            </w:r>
            <w:r>
              <w:rPr>
                <w:rFonts w:ascii="宋体" w:hAnsi="宋体" w:cs="宋体"/>
                <w:kern w:val="0"/>
                <w:sz w:val="18"/>
                <w:szCs w:val="18"/>
              </w:rPr>
              <w:t>、</w:t>
            </w:r>
            <w:r>
              <w:rPr>
                <w:rFonts w:hint="eastAsia" w:ascii="宋体" w:hAnsi="宋体" w:cs="宋体"/>
                <w:kern w:val="0"/>
                <w:sz w:val="20"/>
                <w:szCs w:val="20"/>
              </w:rPr>
              <w:t>整体绩效目标实现情况（</w:t>
            </w:r>
            <w:r>
              <w:rPr>
                <w:rFonts w:ascii="宋体" w:hAnsi="宋体" w:cs="宋体"/>
                <w:kern w:val="0"/>
                <w:sz w:val="20"/>
                <w:szCs w:val="20"/>
              </w:rPr>
              <w:t>60分）</w:t>
            </w:r>
          </w:p>
        </w:tc>
      </w:tr>
      <w:tr>
        <w:tblPrEx>
          <w:tblCellMar>
            <w:top w:w="0" w:type="dxa"/>
            <w:left w:w="108" w:type="dxa"/>
            <w:bottom w:w="0" w:type="dxa"/>
            <w:right w:w="108" w:type="dxa"/>
          </w:tblCellMar>
        </w:tblPrEx>
        <w:trPr>
          <w:trHeight w:val="499" w:hRule="atLeast"/>
        </w:trPr>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r>
              <w:rPr>
                <w:rFonts w:hint="eastAsia" w:ascii="宋体" w:hAnsi="宋体" w:cs="宋体"/>
                <w:kern w:val="0"/>
                <w:sz w:val="20"/>
                <w:szCs w:val="20"/>
              </w:rPr>
              <w:t>　</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r>
              <w:rPr>
                <w:rFonts w:hint="eastAsia" w:ascii="宋体" w:hAnsi="宋体" w:cs="宋体"/>
                <w:kern w:val="0"/>
                <w:sz w:val="20"/>
                <w:szCs w:val="20"/>
              </w:rPr>
              <w:t>　</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指标</w:t>
            </w:r>
            <w:r>
              <w:rPr>
                <w:rFonts w:ascii="宋体" w:hAnsi="宋体" w:cs="宋体"/>
                <w:bCs/>
                <w:kern w:val="0"/>
                <w:sz w:val="18"/>
                <w:szCs w:val="18"/>
              </w:rPr>
              <w:t>解释</w:t>
            </w:r>
          </w:p>
        </w:tc>
        <w:tc>
          <w:tcPr>
            <w:tcW w:w="13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558" w:hRule="atLeast"/>
        </w:trPr>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整体绩效目标实现情况（</w:t>
            </w:r>
            <w:r>
              <w:rPr>
                <w:rFonts w:ascii="宋体" w:hAnsi="宋体" w:cs="宋体"/>
                <w:kern w:val="0"/>
                <w:sz w:val="20"/>
                <w:szCs w:val="20"/>
              </w:rPr>
              <w:t>60）</w:t>
            </w:r>
          </w:p>
        </w:tc>
        <w:tc>
          <w:tcPr>
            <w:tcW w:w="292" w:type="pct"/>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w:t>
            </w:r>
            <w:r>
              <w:rPr>
                <w:rFonts w:ascii="宋体" w:hAnsi="宋体" w:cs="宋体"/>
                <w:kern w:val="0"/>
                <w:sz w:val="20"/>
                <w:szCs w:val="20"/>
              </w:rPr>
              <w:t>30）</w:t>
            </w:r>
          </w:p>
        </w:tc>
        <w:tc>
          <w:tcPr>
            <w:tcW w:w="400" w:type="pct"/>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产出数量</w:t>
            </w:r>
          </w:p>
        </w:tc>
        <w:tc>
          <w:tcPr>
            <w:tcW w:w="400"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持续建设在线精品课程项目　</w:t>
            </w:r>
          </w:p>
        </w:tc>
        <w:tc>
          <w:tcPr>
            <w:tcW w:w="292"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完成在线精品课程建设</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4.2</w:t>
            </w:r>
          </w:p>
        </w:tc>
        <w:tc>
          <w:tcPr>
            <w:tcW w:w="130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kern w:val="0"/>
                <w:sz w:val="18"/>
                <w:szCs w:val="18"/>
              </w:rPr>
            </w:pPr>
            <w:r>
              <w:rPr>
                <w:rFonts w:hint="eastAsia" w:ascii="宋体" w:hAnsi="宋体" w:cs="宋体"/>
                <w:b/>
                <w:bCs/>
                <w:kern w:val="0"/>
                <w:sz w:val="18"/>
                <w:szCs w:val="18"/>
              </w:rPr>
              <w:t>产出数量</w:t>
            </w:r>
            <w:r>
              <w:rPr>
                <w:rFonts w:hint="eastAsia" w:ascii="宋体" w:hAnsi="宋体" w:cs="宋体"/>
                <w:kern w:val="0"/>
                <w:sz w:val="18"/>
                <w:szCs w:val="18"/>
              </w:rPr>
              <w:t>：计划完成率</w:t>
            </w:r>
            <w:r>
              <w:rPr>
                <w:rFonts w:ascii="宋体" w:hAnsi="宋体" w:cs="宋体"/>
                <w:kern w:val="0"/>
                <w:sz w:val="18"/>
                <w:szCs w:val="18"/>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18"/>
                <w:szCs w:val="18"/>
              </w:rPr>
              <w:t>产出质量</w:t>
            </w:r>
            <w:r>
              <w:rPr>
                <w:rFonts w:hint="eastAsia" w:ascii="宋体" w:hAnsi="宋体" w:cs="宋体"/>
                <w:kern w:val="0"/>
                <w:sz w:val="18"/>
                <w:szCs w:val="18"/>
              </w:rPr>
              <w:t>：质量达标率</w:t>
            </w:r>
            <w:r>
              <w:rPr>
                <w:rFonts w:ascii="宋体" w:hAnsi="宋体" w:cs="宋体"/>
                <w:kern w:val="0"/>
                <w:sz w:val="18"/>
                <w:szCs w:val="18"/>
              </w:rPr>
              <w:t>=质量达标工作数/实际完成工作数×100%。质量达标工作数：一定时期（年度或规划期）内部门（单位）实际完成工作数中达到部门绩效目标要求（绩效标准值）的工作任务数量。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18"/>
                <w:szCs w:val="18"/>
              </w:rPr>
              <w:t>产出进度：</w:t>
            </w:r>
            <w:r>
              <w:rPr>
                <w:rFonts w:hint="eastAsia" w:ascii="宋体" w:hAnsi="宋体" w:cs="宋体"/>
                <w:kern w:val="0"/>
                <w:sz w:val="18"/>
                <w:szCs w:val="18"/>
              </w:rPr>
              <w:t>按时完成率</w:t>
            </w:r>
            <w:r>
              <w:rPr>
                <w:rFonts w:ascii="宋体" w:hAnsi="宋体" w:cs="宋体"/>
                <w:kern w:val="0"/>
                <w:sz w:val="18"/>
                <w:szCs w:val="18"/>
              </w:rPr>
              <w:t>=（按时完成工作数/实际完成工作数）×100%。按时完成工作数：部门（单位）按照整体绩效目标确定的时限实际完成的工作任务数量。</w:t>
            </w:r>
            <w:r>
              <w:rPr>
                <w:rFonts w:hint="eastAsia" w:ascii="宋体" w:hAnsi="宋体" w:cs="宋体"/>
                <w:b/>
                <w:bCs/>
                <w:kern w:val="0"/>
                <w:sz w:val="18"/>
                <w:szCs w:val="18"/>
              </w:rPr>
              <w:t>产出成本</w:t>
            </w:r>
            <w:r>
              <w:rPr>
                <w:rFonts w:hint="eastAsia" w:ascii="宋体" w:hAnsi="宋体" w:cs="宋体"/>
                <w:kern w:val="0"/>
                <w:sz w:val="18"/>
                <w:szCs w:val="18"/>
              </w:rPr>
              <w:t>：单位产出相对于上一年度的节约额；②单位产出相对于市场同类产出的节约额；③部门公用经费的控制情况。</w:t>
            </w: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tc>
        <w:tc>
          <w:tcPr>
            <w:tcW w:w="13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部门根据本单位情况自行确定并选择产出指标，合理确定各项指标权重。可量化的指标按照比率</w:t>
            </w:r>
            <w:r>
              <w:rPr>
                <w:rFonts w:ascii="宋体" w:hAnsi="宋体" w:cs="宋体"/>
                <w:kern w:val="0"/>
                <w:sz w:val="18"/>
                <w:szCs w:val="18"/>
              </w:rPr>
              <w:t>*单项指标分值即为该指标得分。如果不能定量评价，则以定性的方式进行自评。</w:t>
            </w: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292"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师资队伍建设优化升级</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师资队伍建设优化升级</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4.2</w:t>
            </w: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292"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vMerge w:val="restart"/>
            <w:tcBorders>
              <w:top w:val="single" w:color="auto" w:sz="4" w:space="0"/>
              <w:left w:val="nil"/>
              <w:right w:val="single" w:color="auto" w:sz="4" w:space="0"/>
            </w:tcBorders>
            <w:vAlign w:val="center"/>
          </w:tcPr>
          <w:p>
            <w:pPr>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产出质量</w:t>
            </w:r>
          </w:p>
        </w:tc>
        <w:tc>
          <w:tcPr>
            <w:tcW w:w="400"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教育教学改革大力推进</w:t>
            </w:r>
          </w:p>
        </w:tc>
        <w:tc>
          <w:tcPr>
            <w:tcW w:w="292"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教育教学改革大力推进</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4.1</w:t>
            </w: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466"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vMerge w:val="continue"/>
            <w:tcBorders>
              <w:left w:val="nil"/>
              <w:right w:val="single" w:color="auto" w:sz="4" w:space="0"/>
            </w:tcBorders>
            <w:vAlign w:val="center"/>
          </w:tcPr>
          <w:p>
            <w:pPr>
              <w:widowControl/>
              <w:jc w:val="center"/>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服务政法能力进一步提升</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服务政法能力进一步提升</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4.1</w:t>
            </w: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19"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产出进度</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完成全年工作任务　</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完成全年工作任务　</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57"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产出成本</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严格控制支出成本，充分发挥财政资金效能　</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全年支出在预算额度内，充分发挥资金效能　</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1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效果（</w:t>
            </w:r>
            <w:r>
              <w:rPr>
                <w:rFonts w:ascii="宋体" w:hAnsi="宋体" w:cs="宋体"/>
                <w:kern w:val="0"/>
                <w:sz w:val="20"/>
                <w:szCs w:val="20"/>
              </w:rPr>
              <w:t>30）</w:t>
            </w:r>
          </w:p>
        </w:tc>
        <w:tc>
          <w:tcPr>
            <w:tcW w:w="400" w:type="pct"/>
            <w:vMerge w:val="restart"/>
            <w:tcBorders>
              <w:top w:val="single" w:color="auto" w:sz="4" w:space="0"/>
              <w:left w:val="nil"/>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社会效益</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教育教学改革力度成效显著</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教育教学改革力度成效显著</w:t>
            </w:r>
          </w:p>
        </w:tc>
        <w:tc>
          <w:tcPr>
            <w:tcW w:w="22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3</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.8</w:t>
            </w:r>
          </w:p>
        </w:tc>
        <w:tc>
          <w:tcPr>
            <w:tcW w:w="1306" w:type="pct"/>
            <w:vMerge w:val="restart"/>
            <w:tcBorders>
              <w:top w:val="single" w:color="auto" w:sz="4" w:space="0"/>
              <w:left w:val="single" w:color="auto" w:sz="4" w:space="0"/>
              <w:right w:val="single" w:color="auto" w:sz="4" w:space="0"/>
            </w:tcBorders>
            <w:vAlign w:val="center"/>
          </w:tcPr>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kern w:val="0"/>
                <w:sz w:val="18"/>
                <w:szCs w:val="18"/>
              </w:rPr>
            </w:pPr>
            <w:r>
              <w:rPr>
                <w:rFonts w:hint="eastAsia" w:ascii="宋体" w:hAnsi="宋体" w:cs="宋体"/>
                <w:b/>
                <w:bCs/>
                <w:kern w:val="0"/>
                <w:sz w:val="18"/>
                <w:szCs w:val="18"/>
              </w:rPr>
              <w:t>经济效益</w:t>
            </w:r>
            <w:r>
              <w:rPr>
                <w:rFonts w:hint="eastAsia" w:ascii="宋体" w:hAnsi="宋体" w:cs="宋体"/>
                <w:kern w:val="0"/>
                <w:sz w:val="18"/>
                <w:szCs w:val="18"/>
              </w:rPr>
              <w:t>：部门（单位）履行职责对经济发展所带来的直接或间接影响。</w:t>
            </w:r>
            <w:r>
              <w:rPr>
                <w:rFonts w:hint="eastAsia" w:ascii="宋体" w:hAnsi="宋体" w:cs="宋体"/>
                <w:b/>
                <w:bCs/>
                <w:kern w:val="0"/>
                <w:sz w:val="18"/>
                <w:szCs w:val="18"/>
              </w:rPr>
              <w:t>社会效益</w:t>
            </w:r>
            <w:r>
              <w:rPr>
                <w:rFonts w:hint="eastAsia" w:ascii="宋体" w:hAnsi="宋体" w:cs="宋体"/>
                <w:kern w:val="0"/>
                <w:sz w:val="18"/>
                <w:szCs w:val="18"/>
              </w:rPr>
              <w:t>：部门（单位）履行职责对社会发展所带来的直接或间接影响。</w:t>
            </w:r>
            <w:r>
              <w:rPr>
                <w:rFonts w:hint="eastAsia" w:ascii="宋体" w:hAnsi="宋体" w:cs="宋体"/>
                <w:b/>
                <w:bCs/>
                <w:kern w:val="0"/>
                <w:sz w:val="18"/>
                <w:szCs w:val="18"/>
              </w:rPr>
              <w:t>环境效益</w:t>
            </w:r>
            <w:r>
              <w:rPr>
                <w:rFonts w:hint="eastAsia" w:ascii="宋体" w:hAnsi="宋体" w:cs="宋体"/>
                <w:kern w:val="0"/>
                <w:sz w:val="18"/>
                <w:szCs w:val="18"/>
              </w:rPr>
              <w:t>：部门（单位）履行职责对环境所带来的直接或间接影响。</w:t>
            </w:r>
            <w:r>
              <w:rPr>
                <w:rFonts w:hint="eastAsia" w:ascii="宋体" w:hAnsi="宋体" w:cs="宋体"/>
                <w:b/>
                <w:bCs/>
                <w:kern w:val="0"/>
                <w:sz w:val="18"/>
                <w:szCs w:val="18"/>
              </w:rPr>
              <w:t>可持续性影响：</w:t>
            </w:r>
            <w:r>
              <w:rPr>
                <w:rFonts w:hint="eastAsia" w:ascii="宋体" w:hAnsi="宋体" w:cs="宋体"/>
                <w:kern w:val="0"/>
                <w:sz w:val="18"/>
                <w:szCs w:val="18"/>
              </w:rPr>
              <w:t>部门绩效目标实现的长效机制建设情况，部门工作效率提升措施的创新。</w:t>
            </w:r>
            <w:r>
              <w:rPr>
                <w:rFonts w:hint="eastAsia" w:ascii="宋体" w:hAnsi="宋体" w:cs="宋体"/>
                <w:b/>
                <w:bCs/>
                <w:kern w:val="0"/>
                <w:sz w:val="18"/>
                <w:szCs w:val="18"/>
              </w:rPr>
              <w:t>服务对象满意度</w:t>
            </w:r>
            <w:r>
              <w:rPr>
                <w:rFonts w:hint="eastAsia" w:ascii="宋体" w:hAnsi="宋体" w:cs="宋体"/>
                <w:kern w:val="0"/>
                <w:sz w:val="18"/>
                <w:szCs w:val="18"/>
              </w:rPr>
              <w:t>：部门（单位）的服务对象对部门履职效果的满意程度。</w:t>
            </w:r>
          </w:p>
        </w:tc>
        <w:tc>
          <w:tcPr>
            <w:tcW w:w="1361" w:type="pct"/>
            <w:vMerge w:val="restart"/>
            <w:tcBorders>
              <w:top w:val="single" w:color="auto" w:sz="4" w:space="0"/>
              <w:left w:val="single" w:color="auto" w:sz="4" w:space="0"/>
              <w:right w:val="single" w:color="auto" w:sz="4" w:space="0"/>
            </w:tcBorders>
            <w:vAlign w:val="center"/>
          </w:tcPr>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部门根据实际情况选择指标进行填写，并将其细化为相应的个性化指标。对于效益类指标可从受益对象瞄准度、受益广度和受益深度上进行设计分析。</w:t>
            </w:r>
          </w:p>
          <w:p>
            <w:pPr>
              <w:widowControl/>
              <w:jc w:val="left"/>
              <w:rPr>
                <w:rFonts w:ascii="宋体" w:hAnsi="宋体" w:cs="宋体"/>
                <w:kern w:val="0"/>
                <w:sz w:val="18"/>
                <w:szCs w:val="18"/>
              </w:rPr>
            </w:pPr>
          </w:p>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vMerge w:val="continue"/>
            <w:tcBorders>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主动融入国家战略，服务乡村振兴</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主动融入国家战略，服务乡村振兴</w:t>
            </w:r>
          </w:p>
        </w:tc>
        <w:tc>
          <w:tcPr>
            <w:tcW w:w="22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.8</w:t>
            </w:r>
          </w:p>
        </w:tc>
        <w:tc>
          <w:tcPr>
            <w:tcW w:w="1306" w:type="pct"/>
            <w:vMerge w:val="continue"/>
            <w:tcBorders>
              <w:left w:val="single" w:color="auto" w:sz="4" w:space="0"/>
              <w:right w:val="single" w:color="auto" w:sz="4" w:space="0"/>
            </w:tcBorders>
            <w:vAlign w:val="center"/>
          </w:tcPr>
          <w:p>
            <w:pPr>
              <w:widowControl/>
              <w:jc w:val="left"/>
              <w:rPr>
                <w:rFonts w:ascii="宋体" w:hAnsi="宋体" w:cs="宋体"/>
                <w:b/>
                <w:bCs/>
                <w:kern w:val="0"/>
                <w:sz w:val="18"/>
                <w:szCs w:val="18"/>
              </w:rPr>
            </w:pPr>
          </w:p>
        </w:tc>
        <w:tc>
          <w:tcPr>
            <w:tcW w:w="1361"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vMerge w:val="restart"/>
            <w:tcBorders>
              <w:top w:val="single" w:color="auto" w:sz="4" w:space="0"/>
              <w:left w:val="nil"/>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可持续影响指标</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发挥政法网站窗口作用，积极宣传政法正能量</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发挥政法网站窗口作用，积极宣传政法正能量</w:t>
            </w:r>
          </w:p>
        </w:tc>
        <w:tc>
          <w:tcPr>
            <w:tcW w:w="22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3.4</w:t>
            </w:r>
          </w:p>
        </w:tc>
        <w:tc>
          <w:tcPr>
            <w:tcW w:w="1306" w:type="pct"/>
            <w:vMerge w:val="continue"/>
            <w:tcBorders>
              <w:left w:val="single" w:color="auto" w:sz="4" w:space="0"/>
              <w:right w:val="single" w:color="auto" w:sz="4" w:space="0"/>
            </w:tcBorders>
            <w:vAlign w:val="center"/>
          </w:tcPr>
          <w:p>
            <w:pPr>
              <w:widowControl/>
              <w:jc w:val="left"/>
              <w:rPr>
                <w:rFonts w:ascii="宋体" w:hAnsi="宋体" w:cs="宋体"/>
                <w:b/>
                <w:bCs/>
                <w:kern w:val="0"/>
                <w:sz w:val="18"/>
                <w:szCs w:val="18"/>
              </w:rPr>
            </w:pPr>
          </w:p>
        </w:tc>
        <w:tc>
          <w:tcPr>
            <w:tcW w:w="1361"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vMerge w:val="continue"/>
            <w:tcBorders>
              <w:left w:val="nil"/>
              <w:right w:val="single" w:color="auto" w:sz="4" w:space="0"/>
            </w:tcBorders>
            <w:vAlign w:val="center"/>
          </w:tcPr>
          <w:p>
            <w:pPr>
              <w:widowControl/>
              <w:jc w:val="center"/>
              <w:rPr>
                <w:rFonts w:ascii="宋体" w:hAnsi="宋体" w:cs="宋体"/>
                <w:kern w:val="0"/>
                <w:sz w:val="20"/>
                <w:szCs w:val="20"/>
              </w:rPr>
            </w:pP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意识形态阵地持续巩固</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持续巩固意识形态阵地</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4.8</w:t>
            </w:r>
          </w:p>
        </w:tc>
        <w:tc>
          <w:tcPr>
            <w:tcW w:w="1306"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vMerge w:val="continue"/>
            <w:tcBorders>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教育教学质量持续提升</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进一步提升教学教育质量</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4.8</w:t>
            </w:r>
          </w:p>
        </w:tc>
        <w:tc>
          <w:tcPr>
            <w:tcW w:w="1306"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841" w:hRule="atLeast"/>
        </w:trPr>
        <w:tc>
          <w:tcPr>
            <w:tcW w:w="29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400" w:type="pct"/>
            <w:tcBorders>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服务对象满意度高</w:t>
            </w:r>
          </w:p>
        </w:tc>
        <w:tc>
          <w:tcPr>
            <w:tcW w:w="292" w:type="pct"/>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服务对象均满意</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0</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8</w:t>
            </w:r>
          </w:p>
        </w:tc>
        <w:tc>
          <w:tcPr>
            <w:tcW w:w="1306"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1"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w:t>
            </w:r>
            <w:r>
              <w:rPr>
                <w:rFonts w:ascii="宋体" w:hAnsi="宋体" w:cs="宋体"/>
                <w:kern w:val="0"/>
                <w:sz w:val="18"/>
                <w:szCs w:val="18"/>
              </w:rPr>
              <w:t>、</w:t>
            </w:r>
            <w:r>
              <w:rPr>
                <w:rFonts w:hint="eastAsia" w:ascii="宋体" w:hAnsi="宋体" w:cs="宋体"/>
                <w:kern w:val="0"/>
                <w:sz w:val="20"/>
                <w:szCs w:val="20"/>
              </w:rPr>
              <w:t>预算管理情况（</w:t>
            </w:r>
            <w:r>
              <w:rPr>
                <w:rFonts w:ascii="宋体" w:hAnsi="宋体" w:cs="宋体"/>
                <w:kern w:val="0"/>
                <w:sz w:val="20"/>
                <w:szCs w:val="20"/>
              </w:rPr>
              <w:t>20分）</w:t>
            </w:r>
          </w:p>
        </w:tc>
      </w:tr>
      <w:tr>
        <w:tblPrEx>
          <w:tblCellMar>
            <w:top w:w="0" w:type="dxa"/>
            <w:left w:w="108" w:type="dxa"/>
            <w:bottom w:w="0" w:type="dxa"/>
            <w:right w:w="108" w:type="dxa"/>
          </w:tblCellMar>
        </w:tblPrEx>
        <w:trPr>
          <w:trHeight w:val="702" w:hRule="atLeast"/>
        </w:trPr>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值</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w:t>
            </w:r>
            <w:r>
              <w:rPr>
                <w:rFonts w:ascii="宋体" w:hAnsi="宋体" w:cs="宋体"/>
                <w:kern w:val="0"/>
                <w:sz w:val="20"/>
                <w:szCs w:val="20"/>
              </w:rPr>
              <w:t>值</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分</w:t>
            </w:r>
            <w:r>
              <w:rPr>
                <w:rFonts w:ascii="宋体" w:hAnsi="宋体" w:cs="宋体"/>
                <w:kern w:val="0"/>
                <w:sz w:val="20"/>
                <w:szCs w:val="20"/>
              </w:rPr>
              <w:t>值</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得</w:t>
            </w:r>
            <w:r>
              <w:rPr>
                <w:rFonts w:ascii="宋体" w:hAnsi="宋体" w:cs="宋体"/>
                <w:kern w:val="0"/>
                <w:sz w:val="20"/>
                <w:szCs w:val="20"/>
              </w:rPr>
              <w:t>分</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Cs/>
                <w:kern w:val="0"/>
                <w:sz w:val="18"/>
                <w:szCs w:val="18"/>
              </w:rPr>
              <w:t>指标</w:t>
            </w:r>
            <w:r>
              <w:rPr>
                <w:rFonts w:ascii="宋体" w:hAnsi="宋体" w:cs="宋体"/>
                <w:bCs/>
                <w:kern w:val="0"/>
                <w:sz w:val="18"/>
                <w:szCs w:val="18"/>
              </w:rPr>
              <w:t>解释</w:t>
            </w:r>
          </w:p>
        </w:tc>
        <w:tc>
          <w:tcPr>
            <w:tcW w:w="13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1714" w:hRule="atLeast"/>
        </w:trPr>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预算管理情况（</w:t>
            </w:r>
            <w:r>
              <w:rPr>
                <w:rFonts w:ascii="宋体" w:hAnsi="宋体" w:cs="宋体"/>
                <w:kern w:val="0"/>
                <w:sz w:val="20"/>
                <w:szCs w:val="20"/>
              </w:rPr>
              <w:t>20）</w:t>
            </w:r>
          </w:p>
        </w:tc>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w:t>
            </w:r>
            <w:r>
              <w:rPr>
                <w:rFonts w:ascii="宋体" w:hAnsi="宋体" w:cs="宋体"/>
                <w:kern w:val="0"/>
                <w:sz w:val="20"/>
                <w:szCs w:val="20"/>
              </w:rPr>
              <w:t>4）</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财务管理制度健全性</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财务管理制度健全、完整、合规</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财务管理制度健全、完整、合规　</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　</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财务管理制度健全性</w:t>
            </w:r>
            <w:r>
              <w:rPr>
                <w:rFonts w:ascii="宋体" w:hAnsi="宋体" w:cs="宋体"/>
                <w:b/>
                <w:bCs/>
                <w:kern w:val="0"/>
                <w:sz w:val="18"/>
                <w:szCs w:val="18"/>
              </w:rPr>
              <w:t>:</w:t>
            </w:r>
            <w:r>
              <w:rPr>
                <w:rFonts w:hint="eastAsia" w:ascii="宋体" w:hAnsi="宋体" w:cs="宋体"/>
                <w:kern w:val="0"/>
                <w:sz w:val="18"/>
                <w:szCs w:val="18"/>
              </w:rPr>
              <w:t>部门（单位）为加强财务管理、规范财务行为而制定的管理制度。</w:t>
            </w:r>
          </w:p>
        </w:tc>
        <w:tc>
          <w:tcPr>
            <w:tcW w:w="13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222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资金使用合规性和安全性</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按照财务管理制度的规定开支，开支范围符合规定</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按照财务管理制度的规定开支，开支范围符合规定　</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资金使用合规性和安全性</w:t>
            </w:r>
            <w:r>
              <w:rPr>
                <w:rFonts w:ascii="宋体" w:hAnsi="宋体" w:cs="宋体"/>
                <w:b/>
                <w:bCs/>
                <w:kern w:val="0"/>
                <w:sz w:val="18"/>
                <w:szCs w:val="18"/>
              </w:rPr>
              <w:t>:</w:t>
            </w:r>
            <w:r>
              <w:rPr>
                <w:rFonts w:hint="eastAsia" w:ascii="宋体" w:hAnsi="宋体" w:cs="宋体"/>
                <w:kern w:val="0"/>
                <w:sz w:val="18"/>
                <w:szCs w:val="18"/>
              </w:rPr>
              <w:t>部门（单位）使用预算资金是否符合相关的预算财务管理制度的规定，是否符合相关规定的开支范围，用以反映考核部门（单位）预算资金的规范运行和安全运行情况。</w:t>
            </w:r>
          </w:p>
        </w:tc>
        <w:tc>
          <w:tcPr>
            <w:tcW w:w="13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2534"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会计基础信息完善性</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会计基础信息真实、完整、准确　</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会计基础信息真实、完整、准确　</w:t>
            </w:r>
          </w:p>
        </w:tc>
        <w:tc>
          <w:tcPr>
            <w:tcW w:w="22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w:t>
            </w:r>
          </w:p>
        </w:tc>
        <w:tc>
          <w:tcPr>
            <w:tcW w:w="436"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会计基础信息完善性</w:t>
            </w:r>
            <w:r>
              <w:rPr>
                <w:rFonts w:ascii="宋体" w:hAnsi="宋体" w:cs="宋体"/>
                <w:b/>
                <w:bCs/>
                <w:kern w:val="0"/>
                <w:sz w:val="18"/>
                <w:szCs w:val="18"/>
              </w:rPr>
              <w:t>:</w:t>
            </w:r>
            <w:r>
              <w:rPr>
                <w:rFonts w:hint="eastAsia" w:ascii="宋体" w:hAnsi="宋体" w:cs="宋体"/>
                <w:kern w:val="0"/>
                <w:sz w:val="18"/>
                <w:szCs w:val="18"/>
              </w:rPr>
              <w:t>部门（单位）会计基础信息情况。</w:t>
            </w:r>
          </w:p>
        </w:tc>
        <w:tc>
          <w:tcPr>
            <w:tcW w:w="13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2684"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w:t>
            </w:r>
            <w:r>
              <w:rPr>
                <w:rFonts w:ascii="宋体" w:hAnsi="宋体" w:cs="宋体"/>
                <w:kern w:val="0"/>
                <w:sz w:val="20"/>
                <w:szCs w:val="20"/>
              </w:rPr>
              <w:t>4）</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资产管理规范性</w:t>
            </w:r>
          </w:p>
        </w:tc>
        <w:tc>
          <w:tcPr>
            <w:tcW w:w="4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资产安全完整、合理配置、使用和处置规范</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资产安全完整、合理配置、使用和处置规范</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.8</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资产管理规范性</w:t>
            </w:r>
            <w:r>
              <w:rPr>
                <w:rFonts w:ascii="宋体" w:hAnsi="宋体" w:cs="宋体"/>
                <w:b/>
                <w:bCs/>
                <w:kern w:val="0"/>
                <w:sz w:val="18"/>
                <w:szCs w:val="18"/>
              </w:rPr>
              <w:t>:</w:t>
            </w:r>
            <w:r>
              <w:rPr>
                <w:rFonts w:hint="eastAsia" w:ascii="宋体" w:hAnsi="宋体" w:cs="宋体"/>
                <w:kern w:val="0"/>
                <w:sz w:val="18"/>
                <w:szCs w:val="18"/>
              </w:rPr>
              <w:t>部门（单位）的资产是否保持安全完整，资产配置是否合理，资产使用和资产处理是否规范，用以反映和考核部门（单位）资产管理的整体水平。</w:t>
            </w:r>
          </w:p>
        </w:tc>
        <w:tc>
          <w:tcPr>
            <w:tcW w:w="1361"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kern w:val="0"/>
                <w:sz w:val="18"/>
                <w:szCs w:val="18"/>
              </w:rPr>
              <w:t>0.8分，扣完为止。</w:t>
            </w:r>
          </w:p>
        </w:tc>
      </w:tr>
      <w:tr>
        <w:tblPrEx>
          <w:tblCellMar>
            <w:top w:w="0" w:type="dxa"/>
            <w:left w:w="108" w:type="dxa"/>
            <w:bottom w:w="0" w:type="dxa"/>
            <w:right w:w="108" w:type="dxa"/>
          </w:tblCellMar>
        </w:tblPrEx>
        <w:trPr>
          <w:trHeight w:val="558"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w:t>
            </w:r>
            <w:r>
              <w:rPr>
                <w:rFonts w:ascii="宋体" w:hAnsi="宋体" w:cs="宋体"/>
                <w:kern w:val="0"/>
                <w:sz w:val="20"/>
                <w:szCs w:val="20"/>
              </w:rPr>
              <w:t>4）</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绩效管理情况</w:t>
            </w:r>
          </w:p>
        </w:tc>
        <w:tc>
          <w:tcPr>
            <w:tcW w:w="4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及时对绩效信息进行汇总整理，对绩效目标偏离事项及时矫正</w:t>
            </w:r>
          </w:p>
        </w:tc>
        <w:tc>
          <w:tcPr>
            <w:tcW w:w="29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及时对绩效信息进行汇总整理，对绩效目标偏离事项及时矫正</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3.8</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绩效管理情况</w:t>
            </w:r>
            <w:r>
              <w:rPr>
                <w:rFonts w:ascii="宋体" w:hAnsi="宋体" w:cs="宋体"/>
                <w:b/>
                <w:bCs/>
                <w:kern w:val="0"/>
                <w:sz w:val="18"/>
                <w:szCs w:val="18"/>
              </w:rPr>
              <w:t>:</w:t>
            </w:r>
            <w:r>
              <w:rPr>
                <w:rFonts w:hint="eastAsia" w:ascii="宋体" w:hAnsi="宋体" w:cs="宋体"/>
                <w:kern w:val="0"/>
                <w:sz w:val="18"/>
                <w:szCs w:val="18"/>
              </w:rPr>
              <w:t>考核部门（单位）在绩效管理信息的汇总和应用情况。</w:t>
            </w:r>
          </w:p>
        </w:tc>
        <w:tc>
          <w:tcPr>
            <w:tcW w:w="13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①部门（单位）是否及时对绩效信息进行汇总分析整理；②部门（单位）是否对绩效目标偏离情况及时进行矫正。每有一项不合格扣</w:t>
            </w:r>
            <w:r>
              <w:rPr>
                <w:rFonts w:ascii="宋体" w:hAnsi="宋体" w:cs="宋体"/>
                <w:kern w:val="0"/>
                <w:sz w:val="18"/>
                <w:szCs w:val="18"/>
              </w:rPr>
              <w:t>2分。</w:t>
            </w:r>
          </w:p>
        </w:tc>
      </w:tr>
      <w:tr>
        <w:tblPrEx>
          <w:tblCellMar>
            <w:top w:w="0" w:type="dxa"/>
            <w:left w:w="108" w:type="dxa"/>
            <w:bottom w:w="0" w:type="dxa"/>
            <w:right w:w="108" w:type="dxa"/>
          </w:tblCellMar>
        </w:tblPrEx>
        <w:trPr>
          <w:trHeight w:val="833"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　</w:t>
            </w:r>
          </w:p>
        </w:tc>
        <w:tc>
          <w:tcPr>
            <w:tcW w:w="800"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2021年</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2022年</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bCs/>
                <w:kern w:val="0"/>
                <w:sz w:val="18"/>
                <w:szCs w:val="18"/>
              </w:rPr>
              <w:t>指标</w:t>
            </w:r>
            <w:r>
              <w:rPr>
                <w:rFonts w:ascii="宋体" w:hAnsi="宋体" w:cs="宋体"/>
                <w:bCs/>
                <w:kern w:val="0"/>
                <w:sz w:val="18"/>
                <w:szCs w:val="18"/>
              </w:rPr>
              <w:t>解释</w:t>
            </w:r>
          </w:p>
        </w:tc>
        <w:tc>
          <w:tcPr>
            <w:tcW w:w="1361"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558"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结转结余率（</w:t>
            </w:r>
            <w:r>
              <w:rPr>
                <w:rFonts w:ascii="宋体" w:hAnsi="宋体" w:cs="宋体"/>
                <w:kern w:val="0"/>
                <w:sz w:val="20"/>
                <w:szCs w:val="20"/>
              </w:rPr>
              <w:t>4）</w:t>
            </w:r>
          </w:p>
        </w:tc>
        <w:tc>
          <w:tcPr>
            <w:tcW w:w="800"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7.72%</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　</w:t>
            </w:r>
            <w:r>
              <w:rPr>
                <w:rFonts w:hint="eastAsia" w:ascii="宋体" w:hAnsi="宋体" w:cs="宋体"/>
                <w:kern w:val="0"/>
                <w:sz w:val="20"/>
                <w:szCs w:val="20"/>
              </w:rPr>
              <w:t>3</w:t>
            </w:r>
            <w:r>
              <w:rPr>
                <w:rFonts w:ascii="宋体" w:hAnsi="宋体" w:cs="宋体"/>
                <w:kern w:val="0"/>
                <w:sz w:val="20"/>
                <w:szCs w:val="20"/>
              </w:rPr>
              <w:t>.33%</w:t>
            </w:r>
          </w:p>
        </w:tc>
        <w:tc>
          <w:tcPr>
            <w:tcW w:w="22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　</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w:t>
            </w:r>
            <w:r>
              <w:rPr>
                <w:rFonts w:ascii="宋体" w:hAnsi="宋体" w:cs="宋体"/>
                <w:kern w:val="0"/>
                <w:sz w:val="18"/>
                <w:szCs w:val="18"/>
              </w:rPr>
              <w:t>=结转结余总额/支出预算数×100%。</w:t>
            </w:r>
            <w:r>
              <w:rPr>
                <w:rFonts w:ascii="宋体" w:hAnsi="宋体" w:cs="宋体"/>
                <w:kern w:val="0"/>
                <w:sz w:val="18"/>
                <w:szCs w:val="18"/>
              </w:rPr>
              <w:br w:type="textWrapping"/>
            </w:r>
            <w:r>
              <w:rPr>
                <w:rFonts w:hint="eastAsia" w:ascii="宋体" w:hAnsi="宋体" w:cs="宋体"/>
                <w:kern w:val="0"/>
                <w:sz w:val="18"/>
                <w:szCs w:val="18"/>
              </w:rPr>
              <w:t>结转结余总额：部门（单位）本年度的结转资金与结余资金之和。</w:t>
            </w:r>
          </w:p>
        </w:tc>
        <w:tc>
          <w:tcPr>
            <w:tcW w:w="1361"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部门结转结余率低于上年的不扣分；高于上年结余率，每高出</w:t>
            </w:r>
            <w:r>
              <w:rPr>
                <w:rFonts w:ascii="宋体" w:hAnsi="宋体" w:cs="宋体"/>
                <w:kern w:val="0"/>
                <w:sz w:val="18"/>
                <w:szCs w:val="18"/>
              </w:rPr>
              <w:t>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92" w:type="pct"/>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部门预决算差异率（</w:t>
            </w:r>
            <w:r>
              <w:rPr>
                <w:rFonts w:ascii="宋体" w:hAnsi="宋体" w:cs="宋体"/>
                <w:kern w:val="0"/>
                <w:sz w:val="20"/>
                <w:szCs w:val="20"/>
              </w:rPr>
              <w:t>4）</w:t>
            </w:r>
          </w:p>
        </w:tc>
        <w:tc>
          <w:tcPr>
            <w:tcW w:w="800" w:type="pct"/>
            <w:gridSpan w:val="2"/>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92"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.82%</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4　</w:t>
            </w:r>
          </w:p>
        </w:tc>
        <w:tc>
          <w:tcPr>
            <w:tcW w:w="130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通过年度部门决算与年初部门预算对比，对部门的年度支出情况进行考核，衡量部门预算的约束力。</w:t>
            </w:r>
          </w:p>
        </w:tc>
        <w:tc>
          <w:tcPr>
            <w:tcW w:w="13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部门预决算差异率高于市级平均差异率（</w:t>
            </w:r>
            <w:r>
              <w:rPr>
                <w:rFonts w:ascii="宋体" w:hAnsi="宋体" w:cs="宋体"/>
                <w:kern w:val="0"/>
                <w:sz w:val="18"/>
                <w:szCs w:val="18"/>
              </w:rPr>
              <w:t>28.3%）的，每高出10%（含），扣0.4分，扣完为止。</w:t>
            </w:r>
          </w:p>
        </w:tc>
      </w:tr>
      <w:tr>
        <w:tblPrEx>
          <w:tblCellMar>
            <w:top w:w="0" w:type="dxa"/>
            <w:left w:w="108" w:type="dxa"/>
            <w:bottom w:w="0" w:type="dxa"/>
            <w:right w:w="108" w:type="dxa"/>
          </w:tblCellMar>
        </w:tblPrEx>
        <w:trPr>
          <w:trHeight w:val="678" w:hRule="atLeast"/>
        </w:trPr>
        <w:tc>
          <w:tcPr>
            <w:tcW w:w="1676" w:type="pct"/>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22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100</w:t>
            </w:r>
          </w:p>
        </w:tc>
        <w:tc>
          <w:tcPr>
            <w:tcW w:w="436"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9</w:t>
            </w:r>
            <w:r>
              <w:rPr>
                <w:rFonts w:ascii="宋体" w:hAnsi="宋体" w:cs="宋体"/>
                <w:kern w:val="0"/>
                <w:sz w:val="20"/>
                <w:szCs w:val="20"/>
              </w:rPr>
              <w:t>2.13</w:t>
            </w:r>
          </w:p>
        </w:tc>
        <w:tc>
          <w:tcPr>
            <w:tcW w:w="266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pStyle w:val="2"/>
        <w:ind w:firstLine="0" w:firstLineChars="0"/>
      </w:pPr>
    </w:p>
    <w:sectPr>
      <w:pgSz w:w="16838" w:h="11906" w:orient="landscape"/>
      <w:pgMar w:top="1588"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Narrow">
    <w:panose1 w:val="020B0606020202030204"/>
    <w:charset w:val="00"/>
    <w:family w:val="swiss"/>
    <w:pitch w:val="default"/>
    <w:sig w:usb0="00000287" w:usb1="000008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4N2M4ZjM2YTBhODZkMGI5YjI0ODQ1MTQ2NTFmNTkifQ=="/>
  </w:docVars>
  <w:rsids>
    <w:rsidRoot w:val="004F1D92"/>
    <w:rsid w:val="00001577"/>
    <w:rsid w:val="00004A19"/>
    <w:rsid w:val="0001640F"/>
    <w:rsid w:val="00017C0A"/>
    <w:rsid w:val="00022D57"/>
    <w:rsid w:val="000273AF"/>
    <w:rsid w:val="00031171"/>
    <w:rsid w:val="00033523"/>
    <w:rsid w:val="00034C88"/>
    <w:rsid w:val="00041F4D"/>
    <w:rsid w:val="0004211A"/>
    <w:rsid w:val="0004379E"/>
    <w:rsid w:val="00047DDA"/>
    <w:rsid w:val="000534E9"/>
    <w:rsid w:val="000557E5"/>
    <w:rsid w:val="00066F5C"/>
    <w:rsid w:val="0007012F"/>
    <w:rsid w:val="00070DCB"/>
    <w:rsid w:val="00072CF0"/>
    <w:rsid w:val="00083CEA"/>
    <w:rsid w:val="00084634"/>
    <w:rsid w:val="000878BA"/>
    <w:rsid w:val="00087F3B"/>
    <w:rsid w:val="00090681"/>
    <w:rsid w:val="000924BA"/>
    <w:rsid w:val="000941F2"/>
    <w:rsid w:val="000A242F"/>
    <w:rsid w:val="000A3A31"/>
    <w:rsid w:val="000B3701"/>
    <w:rsid w:val="000B575C"/>
    <w:rsid w:val="000C3ADA"/>
    <w:rsid w:val="000C3D3F"/>
    <w:rsid w:val="000D0501"/>
    <w:rsid w:val="000D18C2"/>
    <w:rsid w:val="000D1A45"/>
    <w:rsid w:val="000D463A"/>
    <w:rsid w:val="000E095B"/>
    <w:rsid w:val="000E0A72"/>
    <w:rsid w:val="000E0E04"/>
    <w:rsid w:val="000E245C"/>
    <w:rsid w:val="000E5DE2"/>
    <w:rsid w:val="000E6A55"/>
    <w:rsid w:val="000F4C39"/>
    <w:rsid w:val="00100995"/>
    <w:rsid w:val="0010386F"/>
    <w:rsid w:val="001133F5"/>
    <w:rsid w:val="00113400"/>
    <w:rsid w:val="00114C57"/>
    <w:rsid w:val="0011693E"/>
    <w:rsid w:val="00127521"/>
    <w:rsid w:val="00127E83"/>
    <w:rsid w:val="001322AC"/>
    <w:rsid w:val="00140063"/>
    <w:rsid w:val="001402F5"/>
    <w:rsid w:val="00143CD0"/>
    <w:rsid w:val="00153581"/>
    <w:rsid w:val="00162B53"/>
    <w:rsid w:val="001714ED"/>
    <w:rsid w:val="00173B74"/>
    <w:rsid w:val="001840D5"/>
    <w:rsid w:val="00194F5C"/>
    <w:rsid w:val="0019733E"/>
    <w:rsid w:val="001A0630"/>
    <w:rsid w:val="001A331E"/>
    <w:rsid w:val="001A5569"/>
    <w:rsid w:val="001A778B"/>
    <w:rsid w:val="001B177D"/>
    <w:rsid w:val="001B2D4A"/>
    <w:rsid w:val="001C4F2E"/>
    <w:rsid w:val="001D5036"/>
    <w:rsid w:val="001D58C3"/>
    <w:rsid w:val="001E5674"/>
    <w:rsid w:val="001F249F"/>
    <w:rsid w:val="0020513A"/>
    <w:rsid w:val="00220F89"/>
    <w:rsid w:val="0022389A"/>
    <w:rsid w:val="00242FCA"/>
    <w:rsid w:val="00247EED"/>
    <w:rsid w:val="00255521"/>
    <w:rsid w:val="00264E97"/>
    <w:rsid w:val="0027342A"/>
    <w:rsid w:val="00281110"/>
    <w:rsid w:val="00285475"/>
    <w:rsid w:val="002864B1"/>
    <w:rsid w:val="002900D1"/>
    <w:rsid w:val="002A0AC2"/>
    <w:rsid w:val="002A0D29"/>
    <w:rsid w:val="002A14D3"/>
    <w:rsid w:val="002A1A28"/>
    <w:rsid w:val="002A266A"/>
    <w:rsid w:val="002B0B71"/>
    <w:rsid w:val="002B27DF"/>
    <w:rsid w:val="002C5858"/>
    <w:rsid w:val="002C6977"/>
    <w:rsid w:val="002D4CB2"/>
    <w:rsid w:val="002E15EB"/>
    <w:rsid w:val="002E1B33"/>
    <w:rsid w:val="002E6065"/>
    <w:rsid w:val="002F1ADE"/>
    <w:rsid w:val="002F38B5"/>
    <w:rsid w:val="00300CDA"/>
    <w:rsid w:val="0030361A"/>
    <w:rsid w:val="00306982"/>
    <w:rsid w:val="00310CB2"/>
    <w:rsid w:val="00310FE5"/>
    <w:rsid w:val="00315F5D"/>
    <w:rsid w:val="00320A46"/>
    <w:rsid w:val="00324C46"/>
    <w:rsid w:val="003371F7"/>
    <w:rsid w:val="0034280A"/>
    <w:rsid w:val="00350667"/>
    <w:rsid w:val="003516D1"/>
    <w:rsid w:val="003517F9"/>
    <w:rsid w:val="00352FDC"/>
    <w:rsid w:val="0035366E"/>
    <w:rsid w:val="00357EB6"/>
    <w:rsid w:val="00362F23"/>
    <w:rsid w:val="00366B66"/>
    <w:rsid w:val="00375398"/>
    <w:rsid w:val="00377A38"/>
    <w:rsid w:val="00382BA1"/>
    <w:rsid w:val="00393624"/>
    <w:rsid w:val="00394A7F"/>
    <w:rsid w:val="00397204"/>
    <w:rsid w:val="003A1F7E"/>
    <w:rsid w:val="003A2004"/>
    <w:rsid w:val="003A72D6"/>
    <w:rsid w:val="003B091E"/>
    <w:rsid w:val="003B10E8"/>
    <w:rsid w:val="003B163B"/>
    <w:rsid w:val="003B2EE1"/>
    <w:rsid w:val="003B33FE"/>
    <w:rsid w:val="003B6722"/>
    <w:rsid w:val="003C3043"/>
    <w:rsid w:val="003C55B3"/>
    <w:rsid w:val="003C6434"/>
    <w:rsid w:val="003C7CA1"/>
    <w:rsid w:val="003D01AA"/>
    <w:rsid w:val="003D06A4"/>
    <w:rsid w:val="003D1D73"/>
    <w:rsid w:val="003D2B0E"/>
    <w:rsid w:val="003D52BD"/>
    <w:rsid w:val="003D6EE5"/>
    <w:rsid w:val="003D7D82"/>
    <w:rsid w:val="003E2F2E"/>
    <w:rsid w:val="003E6537"/>
    <w:rsid w:val="003F1F5C"/>
    <w:rsid w:val="003F33A2"/>
    <w:rsid w:val="003F6BAF"/>
    <w:rsid w:val="00410403"/>
    <w:rsid w:val="00412EBC"/>
    <w:rsid w:val="00413C83"/>
    <w:rsid w:val="00415C36"/>
    <w:rsid w:val="004254FC"/>
    <w:rsid w:val="00427309"/>
    <w:rsid w:val="00431080"/>
    <w:rsid w:val="0043316A"/>
    <w:rsid w:val="00440A80"/>
    <w:rsid w:val="00441F2D"/>
    <w:rsid w:val="004561D6"/>
    <w:rsid w:val="00456448"/>
    <w:rsid w:val="00465705"/>
    <w:rsid w:val="00465B63"/>
    <w:rsid w:val="004707B2"/>
    <w:rsid w:val="00475B72"/>
    <w:rsid w:val="0047613C"/>
    <w:rsid w:val="00481070"/>
    <w:rsid w:val="004811F8"/>
    <w:rsid w:val="004818B7"/>
    <w:rsid w:val="0048573F"/>
    <w:rsid w:val="00490F75"/>
    <w:rsid w:val="004912D8"/>
    <w:rsid w:val="00497DB9"/>
    <w:rsid w:val="004B0835"/>
    <w:rsid w:val="004B2A7E"/>
    <w:rsid w:val="004B2C88"/>
    <w:rsid w:val="004D0BBA"/>
    <w:rsid w:val="004D14C7"/>
    <w:rsid w:val="004D1CFD"/>
    <w:rsid w:val="004E0DEB"/>
    <w:rsid w:val="004E4CBF"/>
    <w:rsid w:val="004E4DE4"/>
    <w:rsid w:val="004F102E"/>
    <w:rsid w:val="004F1D92"/>
    <w:rsid w:val="004F70F2"/>
    <w:rsid w:val="005008DA"/>
    <w:rsid w:val="00502FF6"/>
    <w:rsid w:val="005039E4"/>
    <w:rsid w:val="005119F5"/>
    <w:rsid w:val="00521B6A"/>
    <w:rsid w:val="00522559"/>
    <w:rsid w:val="00526715"/>
    <w:rsid w:val="0052743B"/>
    <w:rsid w:val="00540540"/>
    <w:rsid w:val="00542006"/>
    <w:rsid w:val="005436F7"/>
    <w:rsid w:val="005448CF"/>
    <w:rsid w:val="00544C00"/>
    <w:rsid w:val="00544FE2"/>
    <w:rsid w:val="005479CB"/>
    <w:rsid w:val="005500CA"/>
    <w:rsid w:val="0055180F"/>
    <w:rsid w:val="0055225C"/>
    <w:rsid w:val="005522D9"/>
    <w:rsid w:val="00555064"/>
    <w:rsid w:val="00560868"/>
    <w:rsid w:val="0056515A"/>
    <w:rsid w:val="00565D4F"/>
    <w:rsid w:val="005703C2"/>
    <w:rsid w:val="005711E4"/>
    <w:rsid w:val="00572EC6"/>
    <w:rsid w:val="005738D5"/>
    <w:rsid w:val="00574ABD"/>
    <w:rsid w:val="0057786A"/>
    <w:rsid w:val="0058160F"/>
    <w:rsid w:val="00582771"/>
    <w:rsid w:val="00582F05"/>
    <w:rsid w:val="00584F63"/>
    <w:rsid w:val="0058669A"/>
    <w:rsid w:val="00592AAB"/>
    <w:rsid w:val="0059751A"/>
    <w:rsid w:val="005A150D"/>
    <w:rsid w:val="005A1D5E"/>
    <w:rsid w:val="005A213C"/>
    <w:rsid w:val="005A3BD1"/>
    <w:rsid w:val="005A4E3B"/>
    <w:rsid w:val="005A5D81"/>
    <w:rsid w:val="005B0180"/>
    <w:rsid w:val="005B10CE"/>
    <w:rsid w:val="005B32D8"/>
    <w:rsid w:val="005B4189"/>
    <w:rsid w:val="005B5C68"/>
    <w:rsid w:val="005C58C4"/>
    <w:rsid w:val="005D314D"/>
    <w:rsid w:val="005D6BBF"/>
    <w:rsid w:val="005E0890"/>
    <w:rsid w:val="005E0995"/>
    <w:rsid w:val="005E37C2"/>
    <w:rsid w:val="005E4C28"/>
    <w:rsid w:val="005E576D"/>
    <w:rsid w:val="005F5AD7"/>
    <w:rsid w:val="00600D48"/>
    <w:rsid w:val="00602FD4"/>
    <w:rsid w:val="00605F77"/>
    <w:rsid w:val="00606FB0"/>
    <w:rsid w:val="00610098"/>
    <w:rsid w:val="00610929"/>
    <w:rsid w:val="00611AFA"/>
    <w:rsid w:val="00614085"/>
    <w:rsid w:val="00614A73"/>
    <w:rsid w:val="00615556"/>
    <w:rsid w:val="00616EBC"/>
    <w:rsid w:val="00627524"/>
    <w:rsid w:val="00630461"/>
    <w:rsid w:val="00631440"/>
    <w:rsid w:val="00634EB0"/>
    <w:rsid w:val="00646A7F"/>
    <w:rsid w:val="00652620"/>
    <w:rsid w:val="00657F28"/>
    <w:rsid w:val="006630E1"/>
    <w:rsid w:val="00666B28"/>
    <w:rsid w:val="00666BA9"/>
    <w:rsid w:val="00670D1B"/>
    <w:rsid w:val="0067473E"/>
    <w:rsid w:val="006767E1"/>
    <w:rsid w:val="00681DEA"/>
    <w:rsid w:val="0068343E"/>
    <w:rsid w:val="006838BA"/>
    <w:rsid w:val="006911A0"/>
    <w:rsid w:val="00695F0D"/>
    <w:rsid w:val="00697B02"/>
    <w:rsid w:val="006A1522"/>
    <w:rsid w:val="006A6125"/>
    <w:rsid w:val="006A7EF3"/>
    <w:rsid w:val="006B4B44"/>
    <w:rsid w:val="006B7A4B"/>
    <w:rsid w:val="006C14EE"/>
    <w:rsid w:val="006C53B8"/>
    <w:rsid w:val="006C7D38"/>
    <w:rsid w:val="006D07DE"/>
    <w:rsid w:val="006E18F9"/>
    <w:rsid w:val="006F0805"/>
    <w:rsid w:val="006F360D"/>
    <w:rsid w:val="006F503C"/>
    <w:rsid w:val="006F70FC"/>
    <w:rsid w:val="00703D9D"/>
    <w:rsid w:val="00705D2C"/>
    <w:rsid w:val="007113F3"/>
    <w:rsid w:val="00711451"/>
    <w:rsid w:val="00713808"/>
    <w:rsid w:val="00716D9F"/>
    <w:rsid w:val="0072187E"/>
    <w:rsid w:val="00740E88"/>
    <w:rsid w:val="00745B82"/>
    <w:rsid w:val="00747EA2"/>
    <w:rsid w:val="007502F0"/>
    <w:rsid w:val="00752331"/>
    <w:rsid w:val="00756E48"/>
    <w:rsid w:val="00757DBC"/>
    <w:rsid w:val="00762E1C"/>
    <w:rsid w:val="00771A68"/>
    <w:rsid w:val="00772075"/>
    <w:rsid w:val="00774AFB"/>
    <w:rsid w:val="00776213"/>
    <w:rsid w:val="00780108"/>
    <w:rsid w:val="00780264"/>
    <w:rsid w:val="00784EAB"/>
    <w:rsid w:val="00787E46"/>
    <w:rsid w:val="00791CAC"/>
    <w:rsid w:val="007A2151"/>
    <w:rsid w:val="007A5B39"/>
    <w:rsid w:val="007B02E4"/>
    <w:rsid w:val="007B44E7"/>
    <w:rsid w:val="007C0818"/>
    <w:rsid w:val="007C31FC"/>
    <w:rsid w:val="007C7518"/>
    <w:rsid w:val="007D0935"/>
    <w:rsid w:val="007D0C35"/>
    <w:rsid w:val="007D4829"/>
    <w:rsid w:val="007D6835"/>
    <w:rsid w:val="007E1394"/>
    <w:rsid w:val="007E48B4"/>
    <w:rsid w:val="007E4BEF"/>
    <w:rsid w:val="007E7590"/>
    <w:rsid w:val="007F66FA"/>
    <w:rsid w:val="00801AC7"/>
    <w:rsid w:val="0080312B"/>
    <w:rsid w:val="0080519D"/>
    <w:rsid w:val="0081144D"/>
    <w:rsid w:val="00814A46"/>
    <w:rsid w:val="00816A2E"/>
    <w:rsid w:val="00826AC0"/>
    <w:rsid w:val="00833A5B"/>
    <w:rsid w:val="00835605"/>
    <w:rsid w:val="008356C9"/>
    <w:rsid w:val="00840FE4"/>
    <w:rsid w:val="008477FE"/>
    <w:rsid w:val="00847C20"/>
    <w:rsid w:val="00855D6F"/>
    <w:rsid w:val="00856A4A"/>
    <w:rsid w:val="0086286C"/>
    <w:rsid w:val="00870C89"/>
    <w:rsid w:val="00873617"/>
    <w:rsid w:val="00873675"/>
    <w:rsid w:val="00884CAB"/>
    <w:rsid w:val="00887698"/>
    <w:rsid w:val="00893BB7"/>
    <w:rsid w:val="00894BCE"/>
    <w:rsid w:val="00894FAB"/>
    <w:rsid w:val="00896A1D"/>
    <w:rsid w:val="008B06FF"/>
    <w:rsid w:val="008B1567"/>
    <w:rsid w:val="008B3BF6"/>
    <w:rsid w:val="008B4B21"/>
    <w:rsid w:val="008C1772"/>
    <w:rsid w:val="008C69A7"/>
    <w:rsid w:val="008D53A4"/>
    <w:rsid w:val="008E14E3"/>
    <w:rsid w:val="008E7D74"/>
    <w:rsid w:val="008F243B"/>
    <w:rsid w:val="008F305A"/>
    <w:rsid w:val="008F4A96"/>
    <w:rsid w:val="008F7A3F"/>
    <w:rsid w:val="008F7A93"/>
    <w:rsid w:val="009017AE"/>
    <w:rsid w:val="00901FB2"/>
    <w:rsid w:val="00903686"/>
    <w:rsid w:val="009049B6"/>
    <w:rsid w:val="00906B11"/>
    <w:rsid w:val="00910912"/>
    <w:rsid w:val="00911FC0"/>
    <w:rsid w:val="0091227E"/>
    <w:rsid w:val="00916461"/>
    <w:rsid w:val="009236B7"/>
    <w:rsid w:val="00925587"/>
    <w:rsid w:val="00934BB0"/>
    <w:rsid w:val="00951AF1"/>
    <w:rsid w:val="00952EC7"/>
    <w:rsid w:val="00954985"/>
    <w:rsid w:val="009563A9"/>
    <w:rsid w:val="0095758A"/>
    <w:rsid w:val="009629F8"/>
    <w:rsid w:val="009639CC"/>
    <w:rsid w:val="0096471B"/>
    <w:rsid w:val="00967B41"/>
    <w:rsid w:val="0097254B"/>
    <w:rsid w:val="00975C1A"/>
    <w:rsid w:val="00987A13"/>
    <w:rsid w:val="00991395"/>
    <w:rsid w:val="00993BBE"/>
    <w:rsid w:val="00994027"/>
    <w:rsid w:val="00994987"/>
    <w:rsid w:val="00996F0E"/>
    <w:rsid w:val="009977F5"/>
    <w:rsid w:val="009B0F75"/>
    <w:rsid w:val="009B3CD7"/>
    <w:rsid w:val="009C2013"/>
    <w:rsid w:val="009C3753"/>
    <w:rsid w:val="009C4A5C"/>
    <w:rsid w:val="009D0B2D"/>
    <w:rsid w:val="009D1A3A"/>
    <w:rsid w:val="009E13C4"/>
    <w:rsid w:val="009E3BAA"/>
    <w:rsid w:val="009E5A65"/>
    <w:rsid w:val="009F0883"/>
    <w:rsid w:val="009F68F8"/>
    <w:rsid w:val="009F6C05"/>
    <w:rsid w:val="00A00C37"/>
    <w:rsid w:val="00A00E81"/>
    <w:rsid w:val="00A07CEB"/>
    <w:rsid w:val="00A128BE"/>
    <w:rsid w:val="00A14003"/>
    <w:rsid w:val="00A16A52"/>
    <w:rsid w:val="00A16C92"/>
    <w:rsid w:val="00A24B74"/>
    <w:rsid w:val="00A26CCE"/>
    <w:rsid w:val="00A27158"/>
    <w:rsid w:val="00A37CA5"/>
    <w:rsid w:val="00A40068"/>
    <w:rsid w:val="00A41E67"/>
    <w:rsid w:val="00A41F91"/>
    <w:rsid w:val="00A47FA7"/>
    <w:rsid w:val="00A500CB"/>
    <w:rsid w:val="00A52917"/>
    <w:rsid w:val="00A54C5B"/>
    <w:rsid w:val="00A57485"/>
    <w:rsid w:val="00A61794"/>
    <w:rsid w:val="00A65B44"/>
    <w:rsid w:val="00A71BD3"/>
    <w:rsid w:val="00A72C14"/>
    <w:rsid w:val="00A745A4"/>
    <w:rsid w:val="00A75912"/>
    <w:rsid w:val="00A81EBA"/>
    <w:rsid w:val="00A849B5"/>
    <w:rsid w:val="00A87BF8"/>
    <w:rsid w:val="00A940A7"/>
    <w:rsid w:val="00AA3324"/>
    <w:rsid w:val="00AA4601"/>
    <w:rsid w:val="00AA7FB5"/>
    <w:rsid w:val="00AB597B"/>
    <w:rsid w:val="00AB7F07"/>
    <w:rsid w:val="00AC0E0F"/>
    <w:rsid w:val="00AC1462"/>
    <w:rsid w:val="00AC2A39"/>
    <w:rsid w:val="00AD197A"/>
    <w:rsid w:val="00AD5301"/>
    <w:rsid w:val="00AD5494"/>
    <w:rsid w:val="00AF6081"/>
    <w:rsid w:val="00AF60DF"/>
    <w:rsid w:val="00B00D7E"/>
    <w:rsid w:val="00B05F01"/>
    <w:rsid w:val="00B06C8F"/>
    <w:rsid w:val="00B071FE"/>
    <w:rsid w:val="00B101E6"/>
    <w:rsid w:val="00B10E85"/>
    <w:rsid w:val="00B170B8"/>
    <w:rsid w:val="00B311B6"/>
    <w:rsid w:val="00B344F6"/>
    <w:rsid w:val="00B4021E"/>
    <w:rsid w:val="00B42B11"/>
    <w:rsid w:val="00B44A6E"/>
    <w:rsid w:val="00B45A00"/>
    <w:rsid w:val="00B46A5D"/>
    <w:rsid w:val="00B51D54"/>
    <w:rsid w:val="00B527D2"/>
    <w:rsid w:val="00B609DC"/>
    <w:rsid w:val="00B633F6"/>
    <w:rsid w:val="00B64631"/>
    <w:rsid w:val="00B702CB"/>
    <w:rsid w:val="00B7199B"/>
    <w:rsid w:val="00B72506"/>
    <w:rsid w:val="00B76301"/>
    <w:rsid w:val="00B803D8"/>
    <w:rsid w:val="00B820EC"/>
    <w:rsid w:val="00B849C8"/>
    <w:rsid w:val="00B86154"/>
    <w:rsid w:val="00B92D6F"/>
    <w:rsid w:val="00BA36C5"/>
    <w:rsid w:val="00BB16E1"/>
    <w:rsid w:val="00BB381B"/>
    <w:rsid w:val="00BB5865"/>
    <w:rsid w:val="00BB61D9"/>
    <w:rsid w:val="00BC1EAB"/>
    <w:rsid w:val="00BC26BF"/>
    <w:rsid w:val="00BC47C4"/>
    <w:rsid w:val="00BC5B42"/>
    <w:rsid w:val="00BC7A9F"/>
    <w:rsid w:val="00BD068B"/>
    <w:rsid w:val="00BE1A06"/>
    <w:rsid w:val="00BE36F0"/>
    <w:rsid w:val="00BE5432"/>
    <w:rsid w:val="00BE7BB1"/>
    <w:rsid w:val="00BF2649"/>
    <w:rsid w:val="00BF47EC"/>
    <w:rsid w:val="00BF61CE"/>
    <w:rsid w:val="00C041B9"/>
    <w:rsid w:val="00C05F93"/>
    <w:rsid w:val="00C11830"/>
    <w:rsid w:val="00C1194D"/>
    <w:rsid w:val="00C12436"/>
    <w:rsid w:val="00C137B5"/>
    <w:rsid w:val="00C13BCE"/>
    <w:rsid w:val="00C155EA"/>
    <w:rsid w:val="00C30F90"/>
    <w:rsid w:val="00C353C6"/>
    <w:rsid w:val="00C3757B"/>
    <w:rsid w:val="00C417A2"/>
    <w:rsid w:val="00C4393C"/>
    <w:rsid w:val="00C50179"/>
    <w:rsid w:val="00C51762"/>
    <w:rsid w:val="00C51E10"/>
    <w:rsid w:val="00C527BB"/>
    <w:rsid w:val="00C55D6A"/>
    <w:rsid w:val="00C6750D"/>
    <w:rsid w:val="00C721F2"/>
    <w:rsid w:val="00C735C0"/>
    <w:rsid w:val="00C86FB7"/>
    <w:rsid w:val="00C8786D"/>
    <w:rsid w:val="00C90FCC"/>
    <w:rsid w:val="00C956CE"/>
    <w:rsid w:val="00C95D0B"/>
    <w:rsid w:val="00CA14A8"/>
    <w:rsid w:val="00CA3A87"/>
    <w:rsid w:val="00CA5AE5"/>
    <w:rsid w:val="00CA6073"/>
    <w:rsid w:val="00CA757C"/>
    <w:rsid w:val="00CB00B1"/>
    <w:rsid w:val="00CB07D4"/>
    <w:rsid w:val="00CB416E"/>
    <w:rsid w:val="00CB660C"/>
    <w:rsid w:val="00CC533E"/>
    <w:rsid w:val="00CC644A"/>
    <w:rsid w:val="00CE1556"/>
    <w:rsid w:val="00CE37E7"/>
    <w:rsid w:val="00CF0BBF"/>
    <w:rsid w:val="00CF499E"/>
    <w:rsid w:val="00CF55D2"/>
    <w:rsid w:val="00CF7C01"/>
    <w:rsid w:val="00D04DBD"/>
    <w:rsid w:val="00D12F76"/>
    <w:rsid w:val="00D168AB"/>
    <w:rsid w:val="00D16C5F"/>
    <w:rsid w:val="00D2430D"/>
    <w:rsid w:val="00D26458"/>
    <w:rsid w:val="00D267DD"/>
    <w:rsid w:val="00D26C5A"/>
    <w:rsid w:val="00D33428"/>
    <w:rsid w:val="00D40250"/>
    <w:rsid w:val="00D44A42"/>
    <w:rsid w:val="00D45E00"/>
    <w:rsid w:val="00D46A6D"/>
    <w:rsid w:val="00D514DE"/>
    <w:rsid w:val="00D52A51"/>
    <w:rsid w:val="00D56404"/>
    <w:rsid w:val="00D5719E"/>
    <w:rsid w:val="00D611EA"/>
    <w:rsid w:val="00D616EF"/>
    <w:rsid w:val="00D65B0C"/>
    <w:rsid w:val="00D72A70"/>
    <w:rsid w:val="00D80CE7"/>
    <w:rsid w:val="00D82A2A"/>
    <w:rsid w:val="00D94CC6"/>
    <w:rsid w:val="00D96A07"/>
    <w:rsid w:val="00DA1514"/>
    <w:rsid w:val="00DA468B"/>
    <w:rsid w:val="00DB0C24"/>
    <w:rsid w:val="00DB26DB"/>
    <w:rsid w:val="00DB58F6"/>
    <w:rsid w:val="00DC0999"/>
    <w:rsid w:val="00DC40BC"/>
    <w:rsid w:val="00DC4D13"/>
    <w:rsid w:val="00DD1337"/>
    <w:rsid w:val="00DD2114"/>
    <w:rsid w:val="00DD3A50"/>
    <w:rsid w:val="00DD592F"/>
    <w:rsid w:val="00DD7303"/>
    <w:rsid w:val="00DE231A"/>
    <w:rsid w:val="00DE3CB7"/>
    <w:rsid w:val="00DE4347"/>
    <w:rsid w:val="00DF2971"/>
    <w:rsid w:val="00DF71F3"/>
    <w:rsid w:val="00E041E2"/>
    <w:rsid w:val="00E12178"/>
    <w:rsid w:val="00E14198"/>
    <w:rsid w:val="00E205EB"/>
    <w:rsid w:val="00E23BEE"/>
    <w:rsid w:val="00E36E50"/>
    <w:rsid w:val="00E4058E"/>
    <w:rsid w:val="00E4241F"/>
    <w:rsid w:val="00E47A10"/>
    <w:rsid w:val="00E50FCA"/>
    <w:rsid w:val="00E519E6"/>
    <w:rsid w:val="00E533AF"/>
    <w:rsid w:val="00E55D11"/>
    <w:rsid w:val="00E6018A"/>
    <w:rsid w:val="00E717C5"/>
    <w:rsid w:val="00E73999"/>
    <w:rsid w:val="00E74D00"/>
    <w:rsid w:val="00E773F4"/>
    <w:rsid w:val="00E819F6"/>
    <w:rsid w:val="00E82883"/>
    <w:rsid w:val="00E94455"/>
    <w:rsid w:val="00E974E3"/>
    <w:rsid w:val="00EA4C63"/>
    <w:rsid w:val="00EA5024"/>
    <w:rsid w:val="00EC7C91"/>
    <w:rsid w:val="00ED2331"/>
    <w:rsid w:val="00ED3088"/>
    <w:rsid w:val="00ED3943"/>
    <w:rsid w:val="00ED6235"/>
    <w:rsid w:val="00EE3287"/>
    <w:rsid w:val="00EE35B0"/>
    <w:rsid w:val="00EF50A3"/>
    <w:rsid w:val="00F06231"/>
    <w:rsid w:val="00F076F2"/>
    <w:rsid w:val="00F108B6"/>
    <w:rsid w:val="00F10C00"/>
    <w:rsid w:val="00F12867"/>
    <w:rsid w:val="00F163C7"/>
    <w:rsid w:val="00F16DE6"/>
    <w:rsid w:val="00F17E64"/>
    <w:rsid w:val="00F27257"/>
    <w:rsid w:val="00F355A3"/>
    <w:rsid w:val="00F36B06"/>
    <w:rsid w:val="00F37988"/>
    <w:rsid w:val="00F41D3C"/>
    <w:rsid w:val="00F514D8"/>
    <w:rsid w:val="00F51685"/>
    <w:rsid w:val="00F5300F"/>
    <w:rsid w:val="00F55802"/>
    <w:rsid w:val="00F56B65"/>
    <w:rsid w:val="00F60BDD"/>
    <w:rsid w:val="00F61A2A"/>
    <w:rsid w:val="00F632E1"/>
    <w:rsid w:val="00F64FC7"/>
    <w:rsid w:val="00F65373"/>
    <w:rsid w:val="00F67602"/>
    <w:rsid w:val="00F72E8A"/>
    <w:rsid w:val="00F8022A"/>
    <w:rsid w:val="00F8064C"/>
    <w:rsid w:val="00F84109"/>
    <w:rsid w:val="00F87633"/>
    <w:rsid w:val="00F90596"/>
    <w:rsid w:val="00F9379F"/>
    <w:rsid w:val="00F94208"/>
    <w:rsid w:val="00FA2B3D"/>
    <w:rsid w:val="00FA2FB6"/>
    <w:rsid w:val="00FA60DB"/>
    <w:rsid w:val="00FA650E"/>
    <w:rsid w:val="00FA6FE6"/>
    <w:rsid w:val="00FC6E55"/>
    <w:rsid w:val="00FD2A5B"/>
    <w:rsid w:val="00FD5BB1"/>
    <w:rsid w:val="00FE4D34"/>
    <w:rsid w:val="00FF1A87"/>
    <w:rsid w:val="00FF48C9"/>
    <w:rsid w:val="05570795"/>
    <w:rsid w:val="079528D4"/>
    <w:rsid w:val="08DA7138"/>
    <w:rsid w:val="09DA574F"/>
    <w:rsid w:val="0BAE67A3"/>
    <w:rsid w:val="10606175"/>
    <w:rsid w:val="12137E11"/>
    <w:rsid w:val="149D101A"/>
    <w:rsid w:val="14A32AD4"/>
    <w:rsid w:val="17325604"/>
    <w:rsid w:val="177B5642"/>
    <w:rsid w:val="17D2722C"/>
    <w:rsid w:val="1DE32025"/>
    <w:rsid w:val="20505621"/>
    <w:rsid w:val="230E380E"/>
    <w:rsid w:val="26A1499A"/>
    <w:rsid w:val="272F01F7"/>
    <w:rsid w:val="2751016E"/>
    <w:rsid w:val="2F427283"/>
    <w:rsid w:val="2F7739FD"/>
    <w:rsid w:val="31606835"/>
    <w:rsid w:val="321F79E2"/>
    <w:rsid w:val="35E41B3B"/>
    <w:rsid w:val="3E0D0A3C"/>
    <w:rsid w:val="421F738E"/>
    <w:rsid w:val="44ED72D0"/>
    <w:rsid w:val="49AF4E76"/>
    <w:rsid w:val="4A0B1FA6"/>
    <w:rsid w:val="4A8B19A7"/>
    <w:rsid w:val="4B3F0159"/>
    <w:rsid w:val="4C940529"/>
    <w:rsid w:val="4E124E8F"/>
    <w:rsid w:val="506944D8"/>
    <w:rsid w:val="52971438"/>
    <w:rsid w:val="52C443BD"/>
    <w:rsid w:val="55F6133B"/>
    <w:rsid w:val="562D7E5B"/>
    <w:rsid w:val="5792501F"/>
    <w:rsid w:val="5A2E7D17"/>
    <w:rsid w:val="5B7C4AB2"/>
    <w:rsid w:val="5BF3746A"/>
    <w:rsid w:val="5C657C3C"/>
    <w:rsid w:val="5CDE521C"/>
    <w:rsid w:val="624606A8"/>
    <w:rsid w:val="64607667"/>
    <w:rsid w:val="6CAD0F6F"/>
    <w:rsid w:val="6FCC795E"/>
    <w:rsid w:val="731F693F"/>
    <w:rsid w:val="74A130E4"/>
    <w:rsid w:val="79B128DE"/>
    <w:rsid w:val="7B396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link w:val="25"/>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pPr>
      <w:tabs>
        <w:tab w:val="right" w:leader="dot" w:pos="8834"/>
      </w:tabs>
      <w:spacing w:line="360" w:lineRule="auto"/>
    </w:pPr>
    <w:rPr>
      <w:rFonts w:ascii="宋体" w:hAnsi="宋体" w:cs="宋体"/>
      <w:b/>
      <w:bCs/>
      <w:kern w:val="0"/>
      <w:sz w:val="28"/>
      <w:szCs w:val="36"/>
    </w:rPr>
  </w:style>
  <w:style w:type="paragraph" w:styleId="9">
    <w:name w:val="toc 2"/>
    <w:basedOn w:val="1"/>
    <w:next w:val="1"/>
    <w:unhideWhenUsed/>
    <w:qFormat/>
    <w:uiPriority w:val="39"/>
    <w:pPr>
      <w:ind w:left="420" w:leftChars="200"/>
    </w:p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7"/>
    <w:qFormat/>
    <w:uiPriority w:val="99"/>
    <w:rPr>
      <w:sz w:val="18"/>
      <w:szCs w:val="18"/>
    </w:rPr>
  </w:style>
  <w:style w:type="character" w:customStyle="1" w:styleId="18">
    <w:name w:val="页脚 Char"/>
    <w:basedOn w:val="14"/>
    <w:link w:val="6"/>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NormalCharacter"/>
    <w:semiHidden/>
    <w:qFormat/>
    <w:uiPriority w:val="0"/>
  </w:style>
  <w:style w:type="character" w:customStyle="1" w:styleId="21">
    <w:name w:val="标题 1 Char"/>
    <w:basedOn w:val="14"/>
    <w:link w:val="3"/>
    <w:qFormat/>
    <w:uiPriority w:val="9"/>
    <w:rPr>
      <w:rFonts w:ascii="Times New Roman" w:hAnsi="Times New Roman" w:eastAsia="宋体" w:cs="Times New Roman"/>
      <w:b/>
      <w:bCs/>
      <w:kern w:val="44"/>
      <w:sz w:val="44"/>
      <w:szCs w:val="44"/>
    </w:rPr>
  </w:style>
  <w:style w:type="paragraph" w:customStyle="1" w:styleId="22">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3">
    <w:name w:val="批注框文本 Char"/>
    <w:basedOn w:val="14"/>
    <w:link w:val="5"/>
    <w:semiHidden/>
    <w:qFormat/>
    <w:uiPriority w:val="99"/>
    <w:rPr>
      <w:rFonts w:ascii="Times New Roman" w:hAnsi="Times New Roman" w:eastAsia="宋体" w:cs="Times New Roman"/>
      <w:sz w:val="18"/>
      <w:szCs w:val="18"/>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5">
    <w:name w:val="批注文字 Char"/>
    <w:basedOn w:val="14"/>
    <w:link w:val="4"/>
    <w:uiPriority w:val="99"/>
    <w:rPr>
      <w:rFonts w:ascii="Times New Roman" w:hAnsi="Times New Roman" w:eastAsia="宋体" w:cs="Times New Roman"/>
      <w:kern w:val="2"/>
      <w:sz w:val="21"/>
      <w:szCs w:val="24"/>
    </w:rPr>
  </w:style>
  <w:style w:type="character" w:customStyle="1" w:styleId="26">
    <w:name w:val="批注主题 Char"/>
    <w:basedOn w:val="25"/>
    <w:link w:val="11"/>
    <w:semiHidden/>
    <w:qFormat/>
    <w:uiPriority w:val="99"/>
    <w:rPr>
      <w:rFonts w:ascii="Times New Roman" w:hAnsi="Times New Roman" w:eastAsia="宋体" w:cs="Times New Roman"/>
      <w:b/>
      <w:bCs/>
      <w:kern w:val="2"/>
      <w:sz w:val="21"/>
      <w:szCs w:val="24"/>
    </w:rPr>
  </w:style>
  <w:style w:type="paragraph" w:customStyle="1" w:styleId="27">
    <w:name w:val="修订2"/>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94D74-0328-4C0A-ADC7-4F84EA2FCD6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1142</Words>
  <Characters>6512</Characters>
  <Lines>54</Lines>
  <Paragraphs>15</Paragraphs>
  <TotalTime>26</TotalTime>
  <ScaleCrop>false</ScaleCrop>
  <LinksUpToDate>false</LinksUpToDate>
  <CharactersWithSpaces>7639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2023-05-26T10:59:00Z</dcterms:created>
  <dc:creator>WHL</dc:creator>
  <cp:lastModifiedBy>ZF</cp:lastModifiedBy>
  <dcterms:modified xsi:type="dcterms:W3CDTF">2023-08-21T05:11:15Z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5A56F00E6AC54E4E8B3F6CE685ABB8D0</vt:lpwstr>
  </property>
</Properties>
</file>