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15D" w:rsidRDefault="00ED315D">
      <w:pPr>
        <w:adjustRightInd w:val="0"/>
        <w:snapToGrid w:val="0"/>
        <w:rPr>
          <w:rFonts w:ascii="黑体" w:eastAsia="黑体"/>
          <w:sz w:val="52"/>
          <w:szCs w:val="52"/>
        </w:rPr>
      </w:pPr>
    </w:p>
    <w:p w:rsidR="00ED315D" w:rsidRDefault="00ED315D">
      <w:pPr>
        <w:adjustRightInd w:val="0"/>
        <w:snapToGrid w:val="0"/>
        <w:rPr>
          <w:rFonts w:ascii="黑体" w:eastAsia="黑体"/>
          <w:sz w:val="52"/>
          <w:szCs w:val="52"/>
        </w:rPr>
      </w:pPr>
    </w:p>
    <w:p w:rsidR="00ED315D" w:rsidRDefault="00ED315D">
      <w:pPr>
        <w:adjustRightInd w:val="0"/>
        <w:snapToGrid w:val="0"/>
        <w:rPr>
          <w:rFonts w:ascii="黑体" w:eastAsia="黑体"/>
          <w:sz w:val="52"/>
          <w:szCs w:val="52"/>
        </w:rPr>
      </w:pPr>
    </w:p>
    <w:p w:rsidR="00ED315D" w:rsidRDefault="00EE6A88">
      <w:pPr>
        <w:adjustRightInd w:val="0"/>
        <w:snapToGrid w:val="0"/>
        <w:spacing w:line="360" w:lineRule="auto"/>
        <w:jc w:val="center"/>
        <w:rPr>
          <w:rFonts w:ascii="黑体" w:eastAsia="黑体"/>
          <w:sz w:val="52"/>
          <w:szCs w:val="52"/>
        </w:rPr>
      </w:pPr>
      <w:r>
        <w:rPr>
          <w:rFonts w:ascii="黑体" w:eastAsia="黑体" w:hint="eastAsia"/>
          <w:sz w:val="52"/>
          <w:szCs w:val="52"/>
        </w:rPr>
        <w:t>北京市市级预算部门整体</w:t>
      </w:r>
    </w:p>
    <w:p w:rsidR="00ED315D" w:rsidRDefault="00EE6A88">
      <w:pPr>
        <w:adjustRightInd w:val="0"/>
        <w:snapToGrid w:val="0"/>
        <w:spacing w:line="360" w:lineRule="auto"/>
        <w:jc w:val="center"/>
        <w:rPr>
          <w:rFonts w:ascii="黑体" w:eastAsia="黑体"/>
          <w:sz w:val="52"/>
          <w:szCs w:val="52"/>
        </w:rPr>
      </w:pPr>
      <w:r>
        <w:rPr>
          <w:rFonts w:ascii="黑体" w:eastAsia="黑体" w:hint="eastAsia"/>
          <w:sz w:val="52"/>
          <w:szCs w:val="52"/>
        </w:rPr>
        <w:t>绩效评价报告</w:t>
      </w:r>
    </w:p>
    <w:p w:rsidR="00ED315D" w:rsidRDefault="00ED315D"/>
    <w:p w:rsidR="00ED315D" w:rsidRDefault="00ED315D"/>
    <w:p w:rsidR="00ED315D" w:rsidRDefault="00ED315D"/>
    <w:p w:rsidR="00ED315D" w:rsidRDefault="00ED315D"/>
    <w:p w:rsidR="00ED315D" w:rsidRDefault="00ED315D"/>
    <w:p w:rsidR="00ED315D" w:rsidRDefault="00ED315D"/>
    <w:p w:rsidR="00ED315D" w:rsidRDefault="00ED315D"/>
    <w:p w:rsidR="00ED315D" w:rsidRDefault="00ED315D"/>
    <w:p w:rsidR="00ED315D" w:rsidRDefault="00ED315D"/>
    <w:p w:rsidR="00ED315D" w:rsidRDefault="00ED315D"/>
    <w:p w:rsidR="00ED315D" w:rsidRDefault="00ED315D"/>
    <w:p w:rsidR="00ED315D" w:rsidRDefault="00ED315D"/>
    <w:p w:rsidR="00ED315D" w:rsidRDefault="00ED315D"/>
    <w:p w:rsidR="00ED315D" w:rsidRDefault="00ED315D"/>
    <w:p w:rsidR="00ED315D" w:rsidRDefault="00ED315D"/>
    <w:p w:rsidR="00ED315D" w:rsidRDefault="00ED315D"/>
    <w:p w:rsidR="00ED315D" w:rsidRDefault="00ED315D"/>
    <w:p w:rsidR="00ED315D" w:rsidRDefault="00ED315D">
      <w:pPr>
        <w:ind w:leftChars="-270" w:left="-567"/>
      </w:pPr>
    </w:p>
    <w:p w:rsidR="00ED315D" w:rsidRDefault="00ED315D"/>
    <w:p w:rsidR="00ED315D" w:rsidRDefault="00ED315D"/>
    <w:p w:rsidR="00ED315D" w:rsidRDefault="00ED315D"/>
    <w:p w:rsidR="00ED315D" w:rsidRDefault="00ED315D"/>
    <w:p w:rsidR="00ED315D" w:rsidRDefault="00ED315D"/>
    <w:p w:rsidR="00ED315D" w:rsidRDefault="00EE6A88">
      <w:pPr>
        <w:adjustRightInd w:val="0"/>
        <w:snapToGrid w:val="0"/>
        <w:spacing w:line="360" w:lineRule="auto"/>
        <w:jc w:val="center"/>
        <w:rPr>
          <w:rFonts w:ascii="楷体" w:eastAsia="楷体" w:hAnsi="楷体"/>
          <w:b/>
          <w:sz w:val="44"/>
          <w:szCs w:val="44"/>
        </w:rPr>
      </w:pPr>
      <w:bookmarkStart w:id="0" w:name="_Toc458154061"/>
      <w:r>
        <w:rPr>
          <w:rFonts w:ascii="楷体" w:eastAsia="楷体" w:hAnsi="楷体" w:hint="eastAsia"/>
          <w:b/>
          <w:sz w:val="44"/>
          <w:szCs w:val="44"/>
        </w:rPr>
        <w:t>北京交通发展</w:t>
      </w:r>
      <w:bookmarkEnd w:id="0"/>
      <w:r>
        <w:rPr>
          <w:rFonts w:ascii="楷体" w:eastAsia="楷体" w:hAnsi="楷体" w:hint="eastAsia"/>
          <w:b/>
          <w:sz w:val="44"/>
          <w:szCs w:val="44"/>
        </w:rPr>
        <w:t>研究院</w:t>
      </w:r>
    </w:p>
    <w:p w:rsidR="00ED315D" w:rsidRDefault="00EE6A88">
      <w:pPr>
        <w:adjustRightInd w:val="0"/>
        <w:snapToGrid w:val="0"/>
        <w:spacing w:line="360" w:lineRule="auto"/>
        <w:jc w:val="center"/>
        <w:rPr>
          <w:rFonts w:ascii="仿宋" w:eastAsia="仿宋" w:hAnsi="仿宋"/>
          <w:b/>
          <w:sz w:val="32"/>
          <w:szCs w:val="32"/>
          <w:lang w:val="zh-CN"/>
        </w:rPr>
      </w:pPr>
      <w:bookmarkStart w:id="1" w:name="_Toc458154062"/>
      <w:r>
        <w:rPr>
          <w:rFonts w:ascii="仿宋" w:eastAsia="仿宋" w:hAnsi="仿宋" w:hint="eastAsia"/>
          <w:b/>
          <w:sz w:val="32"/>
          <w:szCs w:val="32"/>
          <w:lang w:val="zh-CN"/>
        </w:rPr>
        <w:t>二〇二</w:t>
      </w:r>
      <w:r>
        <w:rPr>
          <w:rFonts w:ascii="仿宋" w:eastAsia="仿宋" w:hAnsi="仿宋" w:hint="eastAsia"/>
          <w:b/>
          <w:sz w:val="32"/>
          <w:szCs w:val="32"/>
        </w:rPr>
        <w:t>三</w:t>
      </w:r>
      <w:r>
        <w:rPr>
          <w:rFonts w:ascii="仿宋" w:eastAsia="仿宋" w:hAnsi="仿宋" w:hint="eastAsia"/>
          <w:b/>
          <w:sz w:val="32"/>
          <w:szCs w:val="32"/>
          <w:lang w:val="zh-CN"/>
        </w:rPr>
        <w:t>年</w:t>
      </w:r>
      <w:r>
        <w:rPr>
          <w:rFonts w:ascii="仿宋" w:eastAsia="仿宋" w:hAnsi="仿宋" w:hint="eastAsia"/>
          <w:b/>
          <w:sz w:val="32"/>
          <w:szCs w:val="32"/>
        </w:rPr>
        <w:t>五</w:t>
      </w:r>
      <w:r>
        <w:rPr>
          <w:rFonts w:ascii="仿宋" w:eastAsia="仿宋" w:hAnsi="仿宋" w:hint="eastAsia"/>
          <w:b/>
          <w:sz w:val="32"/>
          <w:szCs w:val="32"/>
          <w:lang w:val="zh-CN"/>
        </w:rPr>
        <w:t>月</w:t>
      </w:r>
      <w:bookmarkEnd w:id="1"/>
    </w:p>
    <w:p w:rsidR="00ED315D" w:rsidRDefault="00ED315D">
      <w:pPr>
        <w:adjustRightInd w:val="0"/>
        <w:snapToGrid w:val="0"/>
        <w:spacing w:line="560" w:lineRule="exact"/>
        <w:jc w:val="center"/>
        <w:rPr>
          <w:rFonts w:ascii="方正小标宋简体" w:eastAsia="方正小标宋简体"/>
          <w:sz w:val="36"/>
          <w:szCs w:val="36"/>
        </w:rPr>
        <w:sectPr w:rsidR="00ED315D">
          <w:footerReference w:type="default" r:id="rId7"/>
          <w:pgSz w:w="11906" w:h="16838"/>
          <w:pgMar w:top="1440" w:right="1800" w:bottom="1440" w:left="1800" w:header="851" w:footer="992" w:gutter="0"/>
          <w:cols w:space="425"/>
          <w:docGrid w:type="lines" w:linePitch="312"/>
        </w:sectPr>
      </w:pPr>
    </w:p>
    <w:p w:rsidR="00ED315D" w:rsidRDefault="00EE6A88">
      <w:pPr>
        <w:adjustRightInd w:val="0"/>
        <w:snapToGrid w:val="0"/>
        <w:spacing w:line="360" w:lineRule="auto"/>
        <w:jc w:val="center"/>
        <w:rPr>
          <w:rFonts w:ascii="华文中宋" w:eastAsia="华文中宋" w:hAnsi="华文中宋"/>
          <w:sz w:val="36"/>
          <w:szCs w:val="36"/>
        </w:rPr>
      </w:pPr>
      <w:r>
        <w:rPr>
          <w:rFonts w:ascii="华文中宋" w:eastAsia="华文中宋" w:hAnsi="华文中宋" w:hint="eastAsia"/>
          <w:sz w:val="36"/>
          <w:szCs w:val="36"/>
        </w:rPr>
        <w:lastRenderedPageBreak/>
        <w:t>北京交通发展研究院2</w:t>
      </w:r>
      <w:r>
        <w:rPr>
          <w:rFonts w:ascii="华文中宋" w:eastAsia="华文中宋" w:hAnsi="华文中宋"/>
          <w:sz w:val="36"/>
          <w:szCs w:val="36"/>
        </w:rPr>
        <w:t>02</w:t>
      </w:r>
      <w:r>
        <w:rPr>
          <w:rFonts w:ascii="华文中宋" w:eastAsia="华文中宋" w:hAnsi="华文中宋" w:hint="eastAsia"/>
          <w:sz w:val="36"/>
          <w:szCs w:val="36"/>
        </w:rPr>
        <w:t>2年度</w:t>
      </w:r>
    </w:p>
    <w:p w:rsidR="00ED315D" w:rsidRDefault="00EE6A88">
      <w:pPr>
        <w:adjustRightInd w:val="0"/>
        <w:snapToGrid w:val="0"/>
        <w:spacing w:line="360" w:lineRule="auto"/>
        <w:jc w:val="center"/>
        <w:rPr>
          <w:rFonts w:ascii="华文中宋" w:eastAsia="华文中宋" w:hAnsi="华文中宋"/>
          <w:sz w:val="36"/>
          <w:szCs w:val="36"/>
        </w:rPr>
      </w:pPr>
      <w:r>
        <w:rPr>
          <w:rFonts w:ascii="华文中宋" w:eastAsia="华文中宋" w:hAnsi="华文中宋" w:hint="eastAsia"/>
          <w:sz w:val="36"/>
          <w:szCs w:val="36"/>
        </w:rPr>
        <w:t>部门整体绩效评价报告</w:t>
      </w:r>
    </w:p>
    <w:p w:rsidR="00ED315D" w:rsidRDefault="00ED315D">
      <w:pPr>
        <w:adjustRightInd w:val="0"/>
        <w:snapToGrid w:val="0"/>
        <w:spacing w:line="360" w:lineRule="auto"/>
        <w:jc w:val="center"/>
        <w:rPr>
          <w:rFonts w:ascii="仿宋_GB2312"/>
          <w:szCs w:val="30"/>
        </w:rPr>
      </w:pPr>
    </w:p>
    <w:p w:rsidR="00ED315D" w:rsidRDefault="00EE6A88">
      <w:pPr>
        <w:adjustRightInd w:val="0"/>
        <w:snapToGrid w:val="0"/>
        <w:spacing w:line="360" w:lineRule="auto"/>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rsidR="00ED315D" w:rsidRDefault="00EE6A88">
      <w:pPr>
        <w:adjustRightInd w:val="0"/>
        <w:snapToGrid w:val="0"/>
        <w:spacing w:line="360" w:lineRule="auto"/>
        <w:ind w:firstLineChars="200" w:firstLine="640"/>
        <w:outlineLvl w:val="1"/>
        <w:rPr>
          <w:rFonts w:ascii="楷体_GB2312" w:eastAsia="楷体_GB2312"/>
          <w:sz w:val="32"/>
          <w:szCs w:val="32"/>
        </w:rPr>
      </w:pPr>
      <w:r>
        <w:rPr>
          <w:rFonts w:ascii="楷体_GB2312" w:eastAsia="楷体_GB2312" w:hint="eastAsia"/>
          <w:sz w:val="32"/>
          <w:szCs w:val="32"/>
        </w:rPr>
        <w:t>（一）机构设置及职责工作任务情况</w:t>
      </w:r>
    </w:p>
    <w:p w:rsidR="00ED315D" w:rsidRDefault="00EE6A88">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北京交通发展研究院（原“北京交通发展研究中心”）于2002年1月经北京市委、市政府批准成立，其目的是集中全市研究力量，整合各方面的智力资源，系统地研究交通问题。2016年8月29日，经北京市机构编制委员会办公室批复，将北京市交通行业节能减</w:t>
      </w:r>
      <w:proofErr w:type="gramStart"/>
      <w:r>
        <w:rPr>
          <w:rFonts w:ascii="仿宋_GB2312" w:eastAsia="仿宋_GB2312" w:hint="eastAsia"/>
          <w:sz w:val="32"/>
          <w:szCs w:val="32"/>
        </w:rPr>
        <w:t>排中心</w:t>
      </w:r>
      <w:proofErr w:type="gramEnd"/>
      <w:r>
        <w:rPr>
          <w:rFonts w:ascii="仿宋_GB2312" w:eastAsia="仿宋_GB2312" w:hint="eastAsia"/>
          <w:sz w:val="32"/>
          <w:szCs w:val="32"/>
        </w:rPr>
        <w:t>整合并入北京交通发展研究中心，并将北京交通发展研究中心更名为北京交通发展研究院（以下简称“交研院”）。</w:t>
      </w:r>
    </w:p>
    <w:p w:rsidR="00ED315D" w:rsidRDefault="00EE6A88">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交</w:t>
      </w:r>
      <w:proofErr w:type="gramStart"/>
      <w:r>
        <w:rPr>
          <w:rFonts w:ascii="仿宋_GB2312" w:eastAsia="仿宋_GB2312" w:hint="eastAsia"/>
          <w:sz w:val="32"/>
          <w:szCs w:val="32"/>
        </w:rPr>
        <w:t>研</w:t>
      </w:r>
      <w:proofErr w:type="gramEnd"/>
      <w:r>
        <w:rPr>
          <w:rFonts w:ascii="仿宋_GB2312" w:eastAsia="仿宋_GB2312" w:hint="eastAsia"/>
          <w:sz w:val="32"/>
          <w:szCs w:val="32"/>
        </w:rPr>
        <w:t>院的主要职责是开展北京城市交通发展战略、政策和规划的研究；跟踪研究城市交通热点和瓶颈问题；组织协调有关交通研究机构的研究工作，并综合研究成果向政府提交实施对策方案；汇集和发布城市交通信息，编写城市交通发展年度报告；在城市交通发展的重大问题上为市政府决策提供依据；开展交通行业节能减排战略、规划、政策的研究；编制本市交通行业节能减排标准；承担本市交通行业节能减排目标责任分解以及节能减排监测、统计、检测、评估等方面的工作；开展交通行业节能减</w:t>
      </w:r>
      <w:proofErr w:type="gramStart"/>
      <w:r>
        <w:rPr>
          <w:rFonts w:ascii="仿宋_GB2312" w:eastAsia="仿宋_GB2312" w:hint="eastAsia"/>
          <w:sz w:val="32"/>
          <w:szCs w:val="32"/>
        </w:rPr>
        <w:t>排政策</w:t>
      </w:r>
      <w:proofErr w:type="gramEnd"/>
      <w:r>
        <w:rPr>
          <w:rFonts w:ascii="仿宋_GB2312" w:eastAsia="仿宋_GB2312" w:hint="eastAsia"/>
          <w:sz w:val="32"/>
          <w:szCs w:val="32"/>
        </w:rPr>
        <w:t>宣传、技术推广、交流与合作等相关工作。</w:t>
      </w:r>
    </w:p>
    <w:p w:rsidR="00ED315D" w:rsidRDefault="00EE6A88" w:rsidP="00482E89">
      <w:pPr>
        <w:adjustRightInd w:val="0"/>
        <w:snapToGrid w:val="0"/>
        <w:spacing w:line="360" w:lineRule="auto"/>
        <w:ind w:firstLineChars="200" w:firstLine="640"/>
        <w:rPr>
          <w:rFonts w:ascii="仿宋_GB2312" w:eastAsia="仿宋_GB2312"/>
          <w:sz w:val="32"/>
          <w:szCs w:val="32"/>
          <w:highlight w:val="yellow"/>
        </w:rPr>
      </w:pPr>
      <w:r>
        <w:rPr>
          <w:rFonts w:ascii="仿宋_GB2312" w:eastAsia="仿宋_GB2312" w:hint="eastAsia"/>
          <w:sz w:val="32"/>
          <w:szCs w:val="32"/>
        </w:rPr>
        <w:lastRenderedPageBreak/>
        <w:t>交</w:t>
      </w:r>
      <w:proofErr w:type="gramStart"/>
      <w:r>
        <w:rPr>
          <w:rFonts w:ascii="仿宋_GB2312" w:eastAsia="仿宋_GB2312" w:hint="eastAsia"/>
          <w:sz w:val="32"/>
          <w:szCs w:val="32"/>
        </w:rPr>
        <w:t>研</w:t>
      </w:r>
      <w:proofErr w:type="gramEnd"/>
      <w:r>
        <w:rPr>
          <w:rFonts w:ascii="仿宋_GB2312" w:eastAsia="仿宋_GB2312" w:hint="eastAsia"/>
          <w:sz w:val="32"/>
          <w:szCs w:val="32"/>
        </w:rPr>
        <w:t>院内设办公室、财务部、质量管理部、战略政策研究所、交通规划所等十二个机构</w:t>
      </w:r>
      <w:r w:rsidR="00482E89">
        <w:rPr>
          <w:rFonts w:ascii="仿宋_GB2312" w:eastAsia="仿宋_GB2312" w:hint="eastAsia"/>
          <w:sz w:val="32"/>
          <w:szCs w:val="32"/>
        </w:rPr>
        <w:t>。</w:t>
      </w:r>
    </w:p>
    <w:p w:rsidR="00ED315D" w:rsidRDefault="00EE6A88">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目前，交</w:t>
      </w:r>
      <w:proofErr w:type="gramStart"/>
      <w:r>
        <w:rPr>
          <w:rFonts w:ascii="仿宋_GB2312" w:eastAsia="仿宋_GB2312" w:hint="eastAsia"/>
          <w:sz w:val="32"/>
          <w:szCs w:val="32"/>
        </w:rPr>
        <w:t>研</w:t>
      </w:r>
      <w:proofErr w:type="gramEnd"/>
      <w:r>
        <w:rPr>
          <w:rFonts w:ascii="仿宋_GB2312" w:eastAsia="仿宋_GB2312" w:hint="eastAsia"/>
          <w:sz w:val="32"/>
          <w:szCs w:val="32"/>
        </w:rPr>
        <w:t>院行政编制0人，实际 0人；事业编制 82人，实有人数71 人；其他聘用人员30人（含博士后）。离退休人员1人，其中：离休 0人，退休 1人。</w:t>
      </w:r>
    </w:p>
    <w:p w:rsidR="00ED315D" w:rsidRDefault="00EE6A88">
      <w:pPr>
        <w:adjustRightInd w:val="0"/>
        <w:snapToGrid w:val="0"/>
        <w:spacing w:line="360" w:lineRule="auto"/>
        <w:ind w:firstLineChars="200" w:firstLine="640"/>
        <w:outlineLvl w:val="1"/>
        <w:rPr>
          <w:rFonts w:ascii="楷体_GB2312" w:eastAsia="楷体_GB2312"/>
          <w:sz w:val="32"/>
          <w:szCs w:val="32"/>
        </w:rPr>
      </w:pPr>
      <w:r>
        <w:rPr>
          <w:rFonts w:ascii="楷体_GB2312" w:eastAsia="楷体_GB2312" w:hint="eastAsia"/>
          <w:sz w:val="32"/>
          <w:szCs w:val="32"/>
        </w:rPr>
        <w:t>（二）部门整体绩效目标设立情况</w:t>
      </w:r>
    </w:p>
    <w:p w:rsidR="00ED315D" w:rsidRDefault="00EE6A88">
      <w:pPr>
        <w:pStyle w:val="af"/>
        <w:adjustRightInd w:val="0"/>
        <w:snapToGrid w:val="0"/>
        <w:spacing w:line="360" w:lineRule="auto"/>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绩效目标设立依据</w:t>
      </w:r>
    </w:p>
    <w:p w:rsidR="00ED315D" w:rsidRDefault="00EE6A88">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根据北京市财政局关于印发《北京市预算绩效管理办法》和《北京市市级财政支出事前绩效评估管理办法》的通知（</w:t>
      </w:r>
      <w:proofErr w:type="gramStart"/>
      <w:r>
        <w:rPr>
          <w:rFonts w:ascii="仿宋_GB2312" w:eastAsia="仿宋_GB2312" w:hAnsi="宋体" w:cs="宋体" w:hint="eastAsia"/>
          <w:color w:val="000000"/>
          <w:kern w:val="0"/>
          <w:sz w:val="32"/>
          <w:szCs w:val="32"/>
        </w:rPr>
        <w:t>京财绩效</w:t>
      </w:r>
      <w:proofErr w:type="gramEnd"/>
      <w:r>
        <w:rPr>
          <w:rFonts w:ascii="仿宋_GB2312" w:eastAsia="仿宋_GB2312" w:hAnsi="宋体" w:cs="宋体" w:hint="eastAsia"/>
          <w:color w:val="000000"/>
          <w:kern w:val="0"/>
          <w:sz w:val="32"/>
          <w:szCs w:val="32"/>
        </w:rPr>
        <w:t>〔2019〕2129号）中“预算部门和单位在编制预算时，……，全面设置部门和单位整体绩效目标、……，将绩效目标作为申报预算的前置条件”的相关要求，2022年交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院结合自身职能，以及计划开展的特大城市交通拥堵治理超级仿真技术研究、交通模型更新与维护、多模式出行行为特征与交通运行监测评估关键技术研究、年度小样本交通综合调查项目、交通节能减</w:t>
      </w:r>
      <w:proofErr w:type="gramStart"/>
      <w:r>
        <w:rPr>
          <w:rFonts w:ascii="仿宋_GB2312" w:eastAsia="仿宋_GB2312" w:hAnsi="宋体" w:cs="宋体" w:hint="eastAsia"/>
          <w:color w:val="000000"/>
          <w:kern w:val="0"/>
          <w:sz w:val="32"/>
          <w:szCs w:val="32"/>
        </w:rPr>
        <w:t>排相关</w:t>
      </w:r>
      <w:proofErr w:type="gramEnd"/>
      <w:r>
        <w:rPr>
          <w:rFonts w:ascii="仿宋_GB2312" w:eastAsia="仿宋_GB2312" w:hAnsi="宋体" w:cs="宋体" w:hint="eastAsia"/>
          <w:color w:val="000000"/>
          <w:kern w:val="0"/>
          <w:sz w:val="32"/>
          <w:szCs w:val="32"/>
        </w:rPr>
        <w:t>研究等工作内容，编制了交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院2022年部门整体支出绩效目标表。</w:t>
      </w:r>
    </w:p>
    <w:p w:rsidR="00ED315D" w:rsidRDefault="00EE6A88">
      <w:pPr>
        <w:pStyle w:val="af"/>
        <w:adjustRightInd w:val="0"/>
        <w:snapToGrid w:val="0"/>
        <w:spacing w:line="360" w:lineRule="auto"/>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2.目标与职责任务匹配情况</w:t>
      </w:r>
    </w:p>
    <w:p w:rsidR="00ED315D" w:rsidRDefault="00EE6A88">
      <w:pPr>
        <w:pStyle w:val="af"/>
        <w:adjustRightInd w:val="0"/>
        <w:snapToGrid w:val="0"/>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2022年，交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院部</w:t>
      </w:r>
      <w:proofErr w:type="gramStart"/>
      <w:r>
        <w:rPr>
          <w:rFonts w:ascii="仿宋_GB2312" w:eastAsia="仿宋_GB2312" w:hAnsi="宋体" w:cs="宋体" w:hint="eastAsia"/>
          <w:color w:val="000000"/>
          <w:kern w:val="0"/>
          <w:sz w:val="32"/>
          <w:szCs w:val="32"/>
        </w:rPr>
        <w:t>门整体</w:t>
      </w:r>
      <w:proofErr w:type="gramEnd"/>
      <w:r>
        <w:rPr>
          <w:rFonts w:ascii="仿宋_GB2312" w:eastAsia="仿宋_GB2312" w:hAnsi="宋体" w:cs="宋体" w:hint="eastAsia"/>
          <w:color w:val="000000"/>
          <w:kern w:val="0"/>
          <w:sz w:val="32"/>
          <w:szCs w:val="32"/>
        </w:rPr>
        <w:t>绩效目标表主要结合自身职能和年度工作计划设置，整体上，具体目标与职责任务匹配对应性较好，具体情况见表</w:t>
      </w:r>
      <w:r w:rsidR="00482E89">
        <w:rPr>
          <w:rFonts w:ascii="仿宋_GB2312" w:eastAsia="仿宋_GB2312" w:hAnsi="宋体" w:cs="宋体" w:hint="eastAsia"/>
          <w:color w:val="000000"/>
          <w:kern w:val="0"/>
          <w:sz w:val="32"/>
          <w:szCs w:val="32"/>
        </w:rPr>
        <w:t>1</w:t>
      </w:r>
      <w:r>
        <w:rPr>
          <w:rFonts w:ascii="仿宋_GB2312" w:eastAsia="仿宋_GB2312" w:hAnsi="宋体" w:cs="宋体" w:hint="eastAsia"/>
          <w:color w:val="000000"/>
          <w:kern w:val="0"/>
          <w:sz w:val="32"/>
          <w:szCs w:val="32"/>
        </w:rPr>
        <w:t>。</w:t>
      </w:r>
    </w:p>
    <w:p w:rsidR="00ED315D" w:rsidRDefault="00EE6A88">
      <w:pPr>
        <w:pStyle w:val="af"/>
        <w:adjustRightInd w:val="0"/>
        <w:snapToGrid w:val="0"/>
        <w:spacing w:line="360" w:lineRule="auto"/>
        <w:ind w:firstLineChars="0" w:firstLine="0"/>
        <w:jc w:val="center"/>
        <w:rPr>
          <w:rFonts w:ascii="黑体" w:eastAsia="黑体" w:hAnsi="黑体" w:cs="宋体"/>
          <w:color w:val="000000"/>
          <w:kern w:val="0"/>
          <w:sz w:val="28"/>
          <w:szCs w:val="28"/>
        </w:rPr>
      </w:pPr>
      <w:r>
        <w:rPr>
          <w:rFonts w:ascii="黑体" w:eastAsia="黑体" w:hAnsi="黑体" w:cs="宋体" w:hint="eastAsia"/>
          <w:color w:val="000000"/>
          <w:kern w:val="0"/>
          <w:sz w:val="28"/>
          <w:szCs w:val="28"/>
        </w:rPr>
        <w:t>表</w:t>
      </w:r>
      <w:r w:rsidR="00482E89">
        <w:rPr>
          <w:rFonts w:ascii="黑体" w:eastAsia="黑体" w:hAnsi="黑体" w:cs="宋体" w:hint="eastAsia"/>
          <w:color w:val="000000"/>
          <w:kern w:val="0"/>
          <w:sz w:val="28"/>
          <w:szCs w:val="28"/>
        </w:rPr>
        <w:t>1</w:t>
      </w:r>
      <w:r>
        <w:rPr>
          <w:rFonts w:ascii="黑体" w:eastAsia="黑体" w:hAnsi="黑体" w:cs="宋体" w:hint="eastAsia"/>
          <w:color w:val="000000"/>
          <w:kern w:val="0"/>
          <w:sz w:val="28"/>
          <w:szCs w:val="28"/>
        </w:rPr>
        <w:t>：部门绩效目标与职责任务匹配对应情况表</w:t>
      </w:r>
    </w:p>
    <w:tbl>
      <w:tblPr>
        <w:tblStyle w:val="ab"/>
        <w:tblW w:w="5000" w:type="pct"/>
        <w:tblLook w:val="04A0"/>
      </w:tblPr>
      <w:tblGrid>
        <w:gridCol w:w="817"/>
        <w:gridCol w:w="4537"/>
        <w:gridCol w:w="3168"/>
      </w:tblGrid>
      <w:tr w:rsidR="00ED315D">
        <w:trPr>
          <w:trHeight w:val="547"/>
          <w:tblHeader/>
        </w:trPr>
        <w:tc>
          <w:tcPr>
            <w:tcW w:w="479" w:type="pct"/>
            <w:vAlign w:val="center"/>
          </w:tcPr>
          <w:p w:rsidR="00ED315D" w:rsidRDefault="00EE6A88">
            <w:pPr>
              <w:pStyle w:val="af"/>
              <w:adjustRightInd w:val="0"/>
              <w:snapToGrid w:val="0"/>
              <w:ind w:firstLineChars="0" w:firstLine="0"/>
              <w:jc w:val="center"/>
              <w:rPr>
                <w:rFonts w:ascii="宋体" w:hAnsi="宋体" w:cs="宋体"/>
                <w:b/>
                <w:color w:val="000000"/>
                <w:kern w:val="0"/>
                <w:sz w:val="20"/>
                <w:szCs w:val="20"/>
              </w:rPr>
            </w:pPr>
            <w:r>
              <w:rPr>
                <w:rFonts w:ascii="宋体" w:hAnsi="宋体" w:cs="宋体" w:hint="eastAsia"/>
                <w:b/>
                <w:color w:val="000000"/>
                <w:kern w:val="0"/>
                <w:sz w:val="20"/>
                <w:szCs w:val="20"/>
              </w:rPr>
              <w:lastRenderedPageBreak/>
              <w:t>序号</w:t>
            </w:r>
          </w:p>
        </w:tc>
        <w:tc>
          <w:tcPr>
            <w:tcW w:w="2662" w:type="pct"/>
            <w:vAlign w:val="center"/>
          </w:tcPr>
          <w:p w:rsidR="00ED315D" w:rsidRDefault="00EE6A88">
            <w:pPr>
              <w:pStyle w:val="af"/>
              <w:adjustRightInd w:val="0"/>
              <w:snapToGrid w:val="0"/>
              <w:ind w:firstLineChars="0" w:firstLine="0"/>
              <w:jc w:val="center"/>
              <w:rPr>
                <w:rFonts w:ascii="宋体" w:hAnsi="宋体" w:cs="宋体"/>
                <w:b/>
                <w:color w:val="000000"/>
                <w:kern w:val="0"/>
                <w:sz w:val="20"/>
                <w:szCs w:val="20"/>
              </w:rPr>
            </w:pPr>
            <w:r>
              <w:rPr>
                <w:rFonts w:ascii="宋体" w:hAnsi="宋体" w:cs="宋体" w:hint="eastAsia"/>
                <w:b/>
                <w:color w:val="000000"/>
                <w:kern w:val="0"/>
                <w:sz w:val="20"/>
                <w:szCs w:val="20"/>
              </w:rPr>
              <w:t>目标内容</w:t>
            </w:r>
          </w:p>
        </w:tc>
        <w:tc>
          <w:tcPr>
            <w:tcW w:w="1859" w:type="pct"/>
            <w:vAlign w:val="center"/>
          </w:tcPr>
          <w:p w:rsidR="00ED315D" w:rsidRDefault="00EE6A88">
            <w:pPr>
              <w:pStyle w:val="af"/>
              <w:adjustRightInd w:val="0"/>
              <w:snapToGrid w:val="0"/>
              <w:ind w:firstLineChars="0" w:firstLine="0"/>
              <w:jc w:val="center"/>
              <w:rPr>
                <w:rFonts w:ascii="宋体" w:hAnsi="宋体" w:cs="宋体"/>
                <w:b/>
                <w:color w:val="000000"/>
                <w:kern w:val="0"/>
                <w:sz w:val="20"/>
                <w:szCs w:val="20"/>
              </w:rPr>
            </w:pPr>
            <w:r>
              <w:rPr>
                <w:rFonts w:ascii="宋体" w:hAnsi="宋体" w:cs="宋体" w:hint="eastAsia"/>
                <w:b/>
                <w:color w:val="000000"/>
                <w:kern w:val="0"/>
                <w:sz w:val="20"/>
                <w:szCs w:val="20"/>
              </w:rPr>
              <w:t>对应职责</w:t>
            </w:r>
          </w:p>
        </w:tc>
      </w:tr>
      <w:tr w:rsidR="00ED315D">
        <w:trPr>
          <w:trHeight w:val="2280"/>
        </w:trPr>
        <w:tc>
          <w:tcPr>
            <w:tcW w:w="479" w:type="pct"/>
            <w:vAlign w:val="center"/>
          </w:tcPr>
          <w:p w:rsidR="00ED315D" w:rsidRDefault="00EE6A88">
            <w:pPr>
              <w:pStyle w:val="af"/>
              <w:adjustRightInd w:val="0"/>
              <w:snapToGrid w:val="0"/>
              <w:ind w:firstLineChars="0" w:firstLine="0"/>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662" w:type="pct"/>
            <w:vAlign w:val="center"/>
          </w:tcPr>
          <w:p w:rsidR="00ED315D" w:rsidRDefault="00EE6A88">
            <w:pPr>
              <w:pStyle w:val="af"/>
              <w:adjustRightInd w:val="0"/>
              <w:snapToGrid w:val="0"/>
              <w:ind w:firstLineChars="0" w:firstLine="0"/>
              <w:rPr>
                <w:rFonts w:ascii="宋体" w:hAnsi="宋体" w:cs="宋体"/>
                <w:color w:val="000000"/>
                <w:kern w:val="0"/>
                <w:sz w:val="20"/>
                <w:szCs w:val="20"/>
                <w:highlight w:val="yellow"/>
              </w:rPr>
            </w:pPr>
            <w:r>
              <w:rPr>
                <w:rFonts w:ascii="宋体" w:hAnsi="宋体" w:cs="宋体" w:hint="eastAsia"/>
                <w:color w:val="000000"/>
                <w:kern w:val="0"/>
                <w:sz w:val="20"/>
                <w:szCs w:val="20"/>
              </w:rPr>
              <w:t>交通规划研究。结合</w:t>
            </w:r>
            <w:proofErr w:type="gramStart"/>
            <w:r>
              <w:rPr>
                <w:rFonts w:ascii="宋体" w:hAnsi="宋体" w:cs="宋体" w:hint="eastAsia"/>
                <w:color w:val="000000"/>
                <w:kern w:val="0"/>
                <w:sz w:val="20"/>
                <w:szCs w:val="20"/>
              </w:rPr>
              <w:t>疏整促</w:t>
            </w:r>
            <w:proofErr w:type="gramEnd"/>
            <w:r>
              <w:rPr>
                <w:rFonts w:ascii="宋体" w:hAnsi="宋体" w:cs="宋体" w:hint="eastAsia"/>
                <w:color w:val="000000"/>
                <w:kern w:val="0"/>
                <w:sz w:val="20"/>
                <w:szCs w:val="20"/>
              </w:rPr>
              <w:t>、轨道线网新增等外部环境变化，对公交线网的布局进行动态优化调整，并对调整效果进行评估。针对交通热点问题，交通系统产生问题的热点区域展开实地调研，并有针对性的提出相应解决方法及改善策略。按照全市交通综合治理的总体工作部署，通过对典型区域和重要节点实地踏勘和调研以及相关经验借鉴，开展重点区域、通道或节点缓堵措施研究，形成研究报告。</w:t>
            </w:r>
          </w:p>
        </w:tc>
        <w:tc>
          <w:tcPr>
            <w:tcW w:w="1859" w:type="pct"/>
            <w:vAlign w:val="center"/>
          </w:tcPr>
          <w:p w:rsidR="00ED315D" w:rsidRDefault="00EE6A88">
            <w:pPr>
              <w:pStyle w:val="af"/>
              <w:adjustRightInd w:val="0"/>
              <w:snapToGrid w:val="0"/>
              <w:ind w:firstLineChars="0" w:firstLine="0"/>
              <w:rPr>
                <w:rFonts w:ascii="宋体" w:hAnsi="宋体" w:cs="宋体"/>
                <w:color w:val="000000"/>
                <w:kern w:val="0"/>
                <w:sz w:val="20"/>
                <w:szCs w:val="20"/>
                <w:highlight w:val="yellow"/>
              </w:rPr>
            </w:pPr>
            <w:r>
              <w:rPr>
                <w:rFonts w:ascii="宋体" w:hAnsi="宋体" w:cs="宋体" w:hint="eastAsia"/>
                <w:sz w:val="20"/>
                <w:szCs w:val="20"/>
              </w:rPr>
              <w:t>跟踪研究城市交通热点和瓶颈问题；在城市交通发展的重大问题上为市政府决策提供依据。</w:t>
            </w:r>
          </w:p>
        </w:tc>
      </w:tr>
      <w:tr w:rsidR="00ED315D">
        <w:trPr>
          <w:trHeight w:val="2568"/>
        </w:trPr>
        <w:tc>
          <w:tcPr>
            <w:tcW w:w="479" w:type="pct"/>
            <w:vAlign w:val="center"/>
          </w:tcPr>
          <w:p w:rsidR="00ED315D" w:rsidRDefault="00EE6A88">
            <w:pPr>
              <w:pStyle w:val="af"/>
              <w:adjustRightInd w:val="0"/>
              <w:snapToGrid w:val="0"/>
              <w:ind w:firstLineChars="0" w:firstLine="0"/>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662" w:type="pct"/>
            <w:vAlign w:val="center"/>
          </w:tcPr>
          <w:p w:rsidR="00ED315D" w:rsidRDefault="00EE6A88">
            <w:pPr>
              <w:pStyle w:val="af"/>
              <w:adjustRightInd w:val="0"/>
              <w:snapToGrid w:val="0"/>
              <w:ind w:firstLineChars="0" w:firstLine="0"/>
              <w:rPr>
                <w:rFonts w:ascii="宋体" w:hAnsi="宋体" w:cs="宋体"/>
                <w:color w:val="000000"/>
                <w:kern w:val="0"/>
                <w:sz w:val="20"/>
                <w:szCs w:val="20"/>
              </w:rPr>
            </w:pPr>
            <w:r>
              <w:rPr>
                <w:rFonts w:ascii="宋体" w:hAnsi="宋体" w:cs="宋体" w:hint="eastAsia"/>
                <w:color w:val="000000"/>
                <w:kern w:val="0"/>
                <w:sz w:val="20"/>
                <w:szCs w:val="20"/>
              </w:rPr>
              <w:t>交通战略研究。重点研究城市交通枢纽与社会经济融合发展、数字经济与城市交通转型发展的相互作用及影响、市场化改革支撑交通发展“降本增效”实施路径、以降低交通负外部成本为导向的需求管理政策设计，通过北京交通未来的科学发展促进城市经济和社会持续发展、增强城市综合竞争力、提高广大市民生活质量。完成城市交通发展战略、交通政策、交通与城市的发展关系等方面的研究和编制工作，为政府交通战略决策提供咨询服务。</w:t>
            </w:r>
          </w:p>
        </w:tc>
        <w:tc>
          <w:tcPr>
            <w:tcW w:w="1859" w:type="pct"/>
            <w:vAlign w:val="center"/>
          </w:tcPr>
          <w:p w:rsidR="00ED315D" w:rsidRDefault="00EE6A88">
            <w:pPr>
              <w:pStyle w:val="af"/>
              <w:adjustRightInd w:val="0"/>
              <w:snapToGrid w:val="0"/>
              <w:ind w:firstLineChars="0" w:firstLine="0"/>
              <w:rPr>
                <w:rFonts w:ascii="宋体" w:hAnsi="宋体" w:cs="宋体"/>
                <w:color w:val="000000"/>
                <w:kern w:val="0"/>
                <w:sz w:val="20"/>
                <w:szCs w:val="20"/>
              </w:rPr>
            </w:pPr>
            <w:r>
              <w:rPr>
                <w:rFonts w:ascii="宋体" w:hAnsi="宋体" w:cs="宋体" w:hint="eastAsia"/>
                <w:sz w:val="20"/>
                <w:szCs w:val="20"/>
              </w:rPr>
              <w:t>开展北京城市交通发展战略、政策和规划的研究。</w:t>
            </w:r>
          </w:p>
        </w:tc>
      </w:tr>
      <w:tr w:rsidR="00ED315D">
        <w:trPr>
          <w:trHeight w:val="2668"/>
        </w:trPr>
        <w:tc>
          <w:tcPr>
            <w:tcW w:w="479" w:type="pct"/>
            <w:vAlign w:val="center"/>
          </w:tcPr>
          <w:p w:rsidR="00ED315D" w:rsidRDefault="00EE6A88">
            <w:pPr>
              <w:pStyle w:val="af"/>
              <w:adjustRightInd w:val="0"/>
              <w:snapToGrid w:val="0"/>
              <w:ind w:firstLineChars="0" w:firstLine="0"/>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2662" w:type="pct"/>
            <w:vAlign w:val="center"/>
          </w:tcPr>
          <w:p w:rsidR="00ED315D" w:rsidRDefault="00EE6A88">
            <w:pPr>
              <w:pStyle w:val="af"/>
              <w:adjustRightInd w:val="0"/>
              <w:snapToGrid w:val="0"/>
              <w:ind w:firstLineChars="0" w:firstLine="0"/>
              <w:rPr>
                <w:rFonts w:ascii="宋体" w:hAnsi="宋体" w:cs="宋体"/>
                <w:color w:val="000000"/>
                <w:kern w:val="0"/>
                <w:sz w:val="20"/>
                <w:szCs w:val="20"/>
              </w:rPr>
            </w:pPr>
            <w:r>
              <w:rPr>
                <w:rFonts w:ascii="宋体" w:hAnsi="宋体" w:cs="宋体" w:hint="eastAsia"/>
                <w:color w:val="000000"/>
                <w:kern w:val="0"/>
                <w:sz w:val="20"/>
                <w:szCs w:val="20"/>
              </w:rPr>
              <w:t>智能交通建设。开展多模式交通运行评价、地面公交线网服务水平评价、基于互联网大数据的典型区域精细化交通评价，完成道路交通运行分析周、季度和年度报告，研发多模式出行数据关联分析模块，为政府部门决策、交通综合治理提供支撑，</w:t>
            </w:r>
            <w:proofErr w:type="gramStart"/>
            <w:r>
              <w:rPr>
                <w:rFonts w:ascii="宋体" w:hAnsi="宋体" w:cs="宋体" w:hint="eastAsia"/>
                <w:color w:val="000000"/>
                <w:kern w:val="0"/>
                <w:sz w:val="20"/>
                <w:szCs w:val="20"/>
              </w:rPr>
              <w:t>提升市</w:t>
            </w:r>
            <w:proofErr w:type="gramEnd"/>
            <w:r>
              <w:rPr>
                <w:rFonts w:ascii="宋体" w:hAnsi="宋体" w:cs="宋体" w:hint="eastAsia"/>
                <w:color w:val="000000"/>
                <w:kern w:val="0"/>
                <w:sz w:val="20"/>
                <w:szCs w:val="20"/>
              </w:rPr>
              <w:t>交通服务能力和效率。完成2022年度公共交通网的增量更新和属性维护、地面公交网与道路网的匹配关系建立、机房及网站运维，对交通运行监测与智能化分析平台升级改造项目进行日常维护和功能完善，保障日常工作正常运转。</w:t>
            </w:r>
          </w:p>
        </w:tc>
        <w:tc>
          <w:tcPr>
            <w:tcW w:w="1859" w:type="pct"/>
            <w:vAlign w:val="center"/>
          </w:tcPr>
          <w:p w:rsidR="00ED315D" w:rsidRDefault="00EE6A88">
            <w:pPr>
              <w:pStyle w:val="af"/>
              <w:adjustRightInd w:val="0"/>
              <w:snapToGrid w:val="0"/>
              <w:ind w:firstLineChars="0" w:firstLine="0"/>
              <w:rPr>
                <w:rFonts w:ascii="宋体" w:hAnsi="宋体" w:cs="宋体"/>
                <w:color w:val="000000"/>
                <w:kern w:val="0"/>
                <w:sz w:val="20"/>
                <w:szCs w:val="20"/>
                <w:highlight w:val="yellow"/>
              </w:rPr>
            </w:pPr>
            <w:r>
              <w:rPr>
                <w:rFonts w:ascii="宋体" w:hAnsi="宋体" w:cs="宋体" w:hint="eastAsia"/>
                <w:sz w:val="20"/>
                <w:szCs w:val="20"/>
              </w:rPr>
              <w:t>组织协调有关交通研究机构的研究工作，并综合研究成果向政府提交实施对策方案。</w:t>
            </w:r>
          </w:p>
        </w:tc>
      </w:tr>
      <w:tr w:rsidR="00ED315D">
        <w:trPr>
          <w:trHeight w:val="1476"/>
        </w:trPr>
        <w:tc>
          <w:tcPr>
            <w:tcW w:w="479" w:type="pct"/>
            <w:vAlign w:val="center"/>
          </w:tcPr>
          <w:p w:rsidR="00ED315D" w:rsidRDefault="00EE6A88">
            <w:pPr>
              <w:pStyle w:val="af"/>
              <w:adjustRightInd w:val="0"/>
              <w:snapToGrid w:val="0"/>
              <w:ind w:firstLineChars="0" w:firstLine="0"/>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662" w:type="pct"/>
            <w:vAlign w:val="center"/>
          </w:tcPr>
          <w:p w:rsidR="00ED315D" w:rsidRDefault="00EE6A88">
            <w:pPr>
              <w:pStyle w:val="af"/>
              <w:adjustRightInd w:val="0"/>
              <w:snapToGrid w:val="0"/>
              <w:ind w:firstLineChars="0" w:firstLine="0"/>
              <w:rPr>
                <w:rFonts w:ascii="宋体" w:hAnsi="宋体" w:cs="宋体"/>
                <w:color w:val="000000"/>
                <w:kern w:val="0"/>
                <w:sz w:val="20"/>
                <w:szCs w:val="20"/>
              </w:rPr>
            </w:pPr>
            <w:r>
              <w:rPr>
                <w:rFonts w:ascii="宋体" w:hAnsi="宋体" w:cs="宋体" w:hint="eastAsia"/>
                <w:color w:val="000000"/>
                <w:kern w:val="0"/>
                <w:sz w:val="20"/>
                <w:szCs w:val="20"/>
              </w:rPr>
              <w:t>交通综合调查。跟踪调查全市出行规律变化，探索交通调查新技术，开展年度小样本交通调查，编写年度交通发展报告，为掌握交通发展规律、交通政策制定、交通规划编制、更新和标定交通模型提供数据基础。</w:t>
            </w:r>
          </w:p>
        </w:tc>
        <w:tc>
          <w:tcPr>
            <w:tcW w:w="1859" w:type="pct"/>
            <w:vAlign w:val="center"/>
          </w:tcPr>
          <w:p w:rsidR="00ED315D" w:rsidRDefault="00EE6A88">
            <w:pPr>
              <w:pStyle w:val="af"/>
              <w:adjustRightInd w:val="0"/>
              <w:snapToGrid w:val="0"/>
              <w:ind w:firstLineChars="0" w:firstLine="0"/>
              <w:rPr>
                <w:rFonts w:ascii="宋体" w:hAnsi="宋体" w:cs="宋体"/>
                <w:color w:val="000000"/>
                <w:kern w:val="0"/>
                <w:sz w:val="20"/>
                <w:szCs w:val="20"/>
              </w:rPr>
            </w:pPr>
            <w:r>
              <w:rPr>
                <w:rFonts w:ascii="宋体" w:hAnsi="宋体" w:cs="宋体" w:hint="eastAsia"/>
                <w:sz w:val="20"/>
                <w:szCs w:val="20"/>
              </w:rPr>
              <w:t>汇集和发布城市交通信息，编写城市交通发展年度报告。</w:t>
            </w:r>
          </w:p>
        </w:tc>
      </w:tr>
      <w:tr w:rsidR="00ED315D">
        <w:trPr>
          <w:trHeight w:val="3606"/>
        </w:trPr>
        <w:tc>
          <w:tcPr>
            <w:tcW w:w="479" w:type="pct"/>
            <w:vAlign w:val="center"/>
          </w:tcPr>
          <w:p w:rsidR="00ED315D" w:rsidRDefault="00EE6A88">
            <w:pPr>
              <w:pStyle w:val="af"/>
              <w:adjustRightInd w:val="0"/>
              <w:snapToGrid w:val="0"/>
              <w:ind w:firstLineChars="0" w:firstLine="0"/>
              <w:jc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662" w:type="pct"/>
            <w:vAlign w:val="center"/>
          </w:tcPr>
          <w:p w:rsidR="00ED315D" w:rsidRDefault="00EE6A88">
            <w:pPr>
              <w:pStyle w:val="af"/>
              <w:adjustRightInd w:val="0"/>
              <w:snapToGrid w:val="0"/>
              <w:ind w:firstLineChars="0" w:firstLine="0"/>
              <w:rPr>
                <w:rFonts w:ascii="宋体" w:hAnsi="宋体" w:cs="宋体"/>
                <w:color w:val="000000"/>
                <w:kern w:val="0"/>
                <w:sz w:val="20"/>
                <w:szCs w:val="20"/>
              </w:rPr>
            </w:pPr>
            <w:r>
              <w:rPr>
                <w:rFonts w:ascii="宋体" w:hAnsi="宋体" w:cs="宋体" w:hint="eastAsia"/>
                <w:color w:val="000000"/>
                <w:kern w:val="0"/>
                <w:sz w:val="20"/>
                <w:szCs w:val="20"/>
              </w:rPr>
              <w:t>交通技术研发。继续开展特大城市交通拥堵治理超级仿真技术研究，主要包括开展微观仿真行为建模、需求场景库建模、多层次一体化建模、基于大数据的数据融合与再现、典型场景测试应用等工作，并形成年度报告。在跟踪国内外前沿技术和交通管理模式的基础上，</w:t>
            </w:r>
            <w:proofErr w:type="gramStart"/>
            <w:r>
              <w:rPr>
                <w:rFonts w:ascii="宋体" w:hAnsi="宋体" w:cs="宋体" w:hint="eastAsia"/>
                <w:color w:val="000000"/>
                <w:kern w:val="0"/>
                <w:sz w:val="20"/>
                <w:szCs w:val="20"/>
              </w:rPr>
              <w:t>研</w:t>
            </w:r>
            <w:proofErr w:type="gramEnd"/>
            <w:r>
              <w:rPr>
                <w:rFonts w:ascii="宋体" w:hAnsi="宋体" w:cs="宋体" w:hint="eastAsia"/>
                <w:color w:val="000000"/>
                <w:kern w:val="0"/>
                <w:sz w:val="20"/>
                <w:szCs w:val="20"/>
              </w:rPr>
              <w:t>判未来交通发展特征及趋势，围绕以预约为代表的</w:t>
            </w:r>
            <w:proofErr w:type="gramStart"/>
            <w:r>
              <w:rPr>
                <w:rFonts w:ascii="宋体" w:hAnsi="宋体" w:cs="宋体" w:hint="eastAsia"/>
                <w:color w:val="000000"/>
                <w:kern w:val="0"/>
                <w:sz w:val="20"/>
                <w:szCs w:val="20"/>
              </w:rPr>
              <w:t>新型交通</w:t>
            </w:r>
            <w:proofErr w:type="gramEnd"/>
            <w:r>
              <w:rPr>
                <w:rFonts w:ascii="宋体" w:hAnsi="宋体" w:cs="宋体" w:hint="eastAsia"/>
                <w:color w:val="000000"/>
                <w:kern w:val="0"/>
                <w:sz w:val="20"/>
                <w:szCs w:val="20"/>
              </w:rPr>
              <w:t>组织和服务模式，研究出行时空调节核心技术、预约出行服务体系、居民出行行为特征及干预方法，探索缓解高</w:t>
            </w:r>
            <w:proofErr w:type="gramStart"/>
            <w:r>
              <w:rPr>
                <w:rFonts w:ascii="宋体" w:hAnsi="宋体" w:cs="宋体" w:hint="eastAsia"/>
                <w:color w:val="000000"/>
                <w:kern w:val="0"/>
                <w:sz w:val="20"/>
                <w:szCs w:val="20"/>
              </w:rPr>
              <w:t>峰拥</w:t>
            </w:r>
            <w:proofErr w:type="gramEnd"/>
            <w:r>
              <w:rPr>
                <w:rFonts w:ascii="宋体" w:hAnsi="宋体" w:cs="宋体" w:hint="eastAsia"/>
                <w:color w:val="000000"/>
                <w:kern w:val="0"/>
                <w:sz w:val="20"/>
                <w:szCs w:val="20"/>
              </w:rPr>
              <w:t>堵的新手段。通过交通模型更新维护，建立健全交通基础数据库，为交通部</w:t>
            </w:r>
            <w:proofErr w:type="gramStart"/>
            <w:r>
              <w:rPr>
                <w:rFonts w:ascii="宋体" w:hAnsi="宋体" w:cs="宋体" w:hint="eastAsia"/>
                <w:color w:val="000000"/>
                <w:kern w:val="0"/>
                <w:sz w:val="20"/>
                <w:szCs w:val="20"/>
              </w:rPr>
              <w:t>门决策</w:t>
            </w:r>
            <w:proofErr w:type="gramEnd"/>
            <w:r>
              <w:rPr>
                <w:rFonts w:ascii="宋体" w:hAnsi="宋体" w:cs="宋体" w:hint="eastAsia"/>
                <w:color w:val="000000"/>
                <w:kern w:val="0"/>
                <w:sz w:val="20"/>
                <w:szCs w:val="20"/>
              </w:rPr>
              <w:t>提供定量化测试平台，为市交通提供科学依据。</w:t>
            </w:r>
          </w:p>
        </w:tc>
        <w:tc>
          <w:tcPr>
            <w:tcW w:w="1859" w:type="pct"/>
            <w:vAlign w:val="center"/>
          </w:tcPr>
          <w:p w:rsidR="00ED315D" w:rsidRDefault="00EE6A88">
            <w:pPr>
              <w:pStyle w:val="af"/>
              <w:adjustRightInd w:val="0"/>
              <w:snapToGrid w:val="0"/>
              <w:ind w:firstLineChars="0" w:firstLine="0"/>
              <w:rPr>
                <w:rFonts w:ascii="宋体" w:hAnsi="宋体" w:cs="宋体"/>
                <w:color w:val="000000"/>
                <w:kern w:val="0"/>
                <w:sz w:val="20"/>
                <w:szCs w:val="20"/>
                <w:highlight w:val="yellow"/>
              </w:rPr>
            </w:pPr>
            <w:r>
              <w:rPr>
                <w:rFonts w:ascii="宋体" w:hAnsi="宋体" w:cs="宋体" w:hint="eastAsia"/>
                <w:sz w:val="20"/>
                <w:szCs w:val="20"/>
              </w:rPr>
              <w:t>跟踪研究城市交通热点和瓶颈问题；组织协调有关交通研究机构的研究工作，并综合研究成果向政府提交实施对策方案；在城市交通发展的重大问题上为市政府决策提供依据。</w:t>
            </w:r>
          </w:p>
        </w:tc>
      </w:tr>
      <w:tr w:rsidR="00ED315D">
        <w:trPr>
          <w:trHeight w:val="1187"/>
        </w:trPr>
        <w:tc>
          <w:tcPr>
            <w:tcW w:w="479" w:type="pct"/>
            <w:vAlign w:val="center"/>
          </w:tcPr>
          <w:p w:rsidR="00ED315D" w:rsidRDefault="00EE6A88">
            <w:pPr>
              <w:pStyle w:val="af"/>
              <w:adjustRightInd w:val="0"/>
              <w:snapToGrid w:val="0"/>
              <w:ind w:firstLineChars="0" w:firstLine="0"/>
              <w:jc w:val="center"/>
              <w:rPr>
                <w:rFonts w:ascii="宋体" w:hAnsi="宋体" w:cs="宋体"/>
                <w:color w:val="000000"/>
                <w:kern w:val="0"/>
                <w:sz w:val="20"/>
                <w:szCs w:val="20"/>
              </w:rPr>
            </w:pPr>
            <w:r>
              <w:rPr>
                <w:rFonts w:ascii="宋体" w:hAnsi="宋体" w:cs="宋体" w:hint="eastAsia"/>
                <w:color w:val="000000"/>
                <w:kern w:val="0"/>
                <w:sz w:val="20"/>
                <w:szCs w:val="20"/>
              </w:rPr>
              <w:lastRenderedPageBreak/>
              <w:t>6</w:t>
            </w:r>
          </w:p>
        </w:tc>
        <w:tc>
          <w:tcPr>
            <w:tcW w:w="2662" w:type="pct"/>
            <w:vAlign w:val="center"/>
          </w:tcPr>
          <w:p w:rsidR="00ED315D" w:rsidRDefault="00EE6A88">
            <w:pPr>
              <w:pStyle w:val="af"/>
              <w:adjustRightInd w:val="0"/>
              <w:snapToGrid w:val="0"/>
              <w:ind w:firstLineChars="0" w:firstLine="0"/>
              <w:rPr>
                <w:rFonts w:ascii="宋体" w:hAnsi="宋体" w:cs="宋体"/>
                <w:color w:val="000000"/>
                <w:kern w:val="0"/>
                <w:sz w:val="20"/>
                <w:szCs w:val="20"/>
              </w:rPr>
            </w:pPr>
            <w:r>
              <w:rPr>
                <w:rFonts w:ascii="宋体" w:hAnsi="宋体" w:cs="宋体" w:hint="eastAsia"/>
                <w:color w:val="000000"/>
                <w:kern w:val="0"/>
                <w:sz w:val="20"/>
                <w:szCs w:val="20"/>
              </w:rPr>
              <w:t>轨道交通运营服务研究。开展慢行交通品质提升方法及策略研究，梳理5个国际大城市慢行系统发展策略，</w:t>
            </w:r>
            <w:proofErr w:type="gramStart"/>
            <w:r>
              <w:rPr>
                <w:rFonts w:ascii="宋体" w:hAnsi="宋体" w:cs="宋体" w:hint="eastAsia"/>
                <w:color w:val="000000"/>
                <w:kern w:val="0"/>
                <w:sz w:val="20"/>
                <w:szCs w:val="20"/>
              </w:rPr>
              <w:t>完成城六区</w:t>
            </w:r>
            <w:proofErr w:type="gramEnd"/>
            <w:r>
              <w:rPr>
                <w:rFonts w:ascii="宋体" w:hAnsi="宋体" w:cs="宋体" w:hint="eastAsia"/>
                <w:color w:val="000000"/>
                <w:kern w:val="0"/>
                <w:sz w:val="20"/>
                <w:szCs w:val="20"/>
              </w:rPr>
              <w:t>水路绿周边出行需求分析，提出2022年北京市发展对策建议。</w:t>
            </w:r>
          </w:p>
        </w:tc>
        <w:tc>
          <w:tcPr>
            <w:tcW w:w="1859" w:type="pct"/>
            <w:vAlign w:val="center"/>
          </w:tcPr>
          <w:p w:rsidR="00ED315D" w:rsidRDefault="00EE6A88">
            <w:pPr>
              <w:pStyle w:val="af"/>
              <w:adjustRightInd w:val="0"/>
              <w:snapToGrid w:val="0"/>
              <w:ind w:firstLineChars="0" w:firstLine="0"/>
              <w:rPr>
                <w:rFonts w:ascii="宋体" w:hAnsi="宋体" w:cs="宋体"/>
                <w:color w:val="000000"/>
                <w:kern w:val="0"/>
                <w:sz w:val="20"/>
                <w:szCs w:val="20"/>
              </w:rPr>
            </w:pPr>
            <w:r>
              <w:rPr>
                <w:rFonts w:ascii="宋体" w:hAnsi="宋体" w:cs="宋体" w:hint="eastAsia"/>
                <w:color w:val="000000"/>
                <w:kern w:val="0"/>
                <w:sz w:val="20"/>
                <w:szCs w:val="20"/>
              </w:rPr>
              <w:t>开展城市交通发展战略政策、规划建设、运行管理等方面的研究；在城市交通发展重大问题上为政府提供决策技术支持。</w:t>
            </w:r>
          </w:p>
        </w:tc>
      </w:tr>
      <w:tr w:rsidR="00ED315D">
        <w:trPr>
          <w:trHeight w:val="4450"/>
        </w:trPr>
        <w:tc>
          <w:tcPr>
            <w:tcW w:w="479" w:type="pct"/>
            <w:vAlign w:val="center"/>
          </w:tcPr>
          <w:p w:rsidR="00ED315D" w:rsidRDefault="00EE6A88">
            <w:pPr>
              <w:pStyle w:val="af"/>
              <w:adjustRightInd w:val="0"/>
              <w:snapToGrid w:val="0"/>
              <w:ind w:firstLineChars="0" w:firstLine="0"/>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2662" w:type="pct"/>
            <w:vAlign w:val="center"/>
          </w:tcPr>
          <w:p w:rsidR="00ED315D" w:rsidRDefault="00EE6A88">
            <w:pPr>
              <w:pStyle w:val="af"/>
              <w:adjustRightInd w:val="0"/>
              <w:snapToGrid w:val="0"/>
              <w:ind w:firstLineChars="0" w:firstLine="0"/>
              <w:rPr>
                <w:rFonts w:ascii="宋体" w:hAnsi="宋体" w:cs="宋体"/>
                <w:color w:val="000000"/>
                <w:kern w:val="0"/>
                <w:sz w:val="20"/>
                <w:szCs w:val="20"/>
              </w:rPr>
            </w:pPr>
            <w:r>
              <w:rPr>
                <w:rFonts w:ascii="宋体" w:hAnsi="宋体" w:cs="宋体" w:hint="eastAsia"/>
                <w:color w:val="000000"/>
                <w:kern w:val="0"/>
                <w:sz w:val="20"/>
                <w:szCs w:val="20"/>
              </w:rPr>
              <w:t>节能减排工作。开展北京市交通领域节能减</w:t>
            </w:r>
            <w:proofErr w:type="gramStart"/>
            <w:r>
              <w:rPr>
                <w:rFonts w:ascii="宋体" w:hAnsi="宋体" w:cs="宋体" w:hint="eastAsia"/>
                <w:color w:val="000000"/>
                <w:kern w:val="0"/>
                <w:sz w:val="20"/>
                <w:szCs w:val="20"/>
              </w:rPr>
              <w:t>排统计</w:t>
            </w:r>
            <w:proofErr w:type="gramEnd"/>
            <w:r>
              <w:rPr>
                <w:rFonts w:ascii="宋体" w:hAnsi="宋体" w:cs="宋体" w:hint="eastAsia"/>
                <w:color w:val="000000"/>
                <w:kern w:val="0"/>
                <w:sz w:val="20"/>
                <w:szCs w:val="20"/>
              </w:rPr>
              <w:t>与监测平台建设一、二期运维，保障平台机房及系统正常运行。开展北京市交通运输环境监测网络建设试点工程运维，获取高质量的交通环境监测数据，为市交通行业环保管理、制订引导外埠过境货车绕行等政策、开展政策效果评估等提供数据支持。开展2022年交通领域污染物排放测试与评估、交通领域能耗排放年度常规调查与数据质量控制，为相关政府部门节能减排决策，为交通需求管理工作和交通公共服务提供支持。结合</w:t>
            </w:r>
            <w:proofErr w:type="gramStart"/>
            <w:r>
              <w:rPr>
                <w:rFonts w:ascii="宋体" w:hAnsi="宋体" w:cs="宋体" w:hint="eastAsia"/>
                <w:color w:val="000000"/>
                <w:kern w:val="0"/>
                <w:sz w:val="20"/>
                <w:szCs w:val="20"/>
              </w:rPr>
              <w:t>国家双碳</w:t>
            </w:r>
            <w:proofErr w:type="gramEnd"/>
            <w:r>
              <w:rPr>
                <w:rFonts w:ascii="宋体" w:hAnsi="宋体" w:cs="宋体" w:hint="eastAsia"/>
                <w:color w:val="000000"/>
                <w:kern w:val="0"/>
                <w:sz w:val="20"/>
                <w:szCs w:val="20"/>
              </w:rPr>
              <w:t>目标，以交通能源转型为重点，纯电动汽车和燃料电池汽车应用为主要方向，分析世界大城市绿色交通发展热点问题的措施、方案、效果和经验，</w:t>
            </w:r>
            <w:proofErr w:type="gramStart"/>
            <w:r>
              <w:rPr>
                <w:rFonts w:ascii="宋体" w:hAnsi="宋体" w:cs="宋体" w:hint="eastAsia"/>
                <w:color w:val="000000"/>
                <w:kern w:val="0"/>
                <w:sz w:val="20"/>
                <w:szCs w:val="20"/>
              </w:rPr>
              <w:t>研判零碳目标</w:t>
            </w:r>
            <w:proofErr w:type="gramEnd"/>
            <w:r>
              <w:rPr>
                <w:rFonts w:ascii="宋体" w:hAnsi="宋体" w:cs="宋体" w:hint="eastAsia"/>
                <w:color w:val="000000"/>
                <w:kern w:val="0"/>
                <w:sz w:val="20"/>
                <w:szCs w:val="20"/>
              </w:rPr>
              <w:t>下北京交通能源转型的趋势、形势，以及纯电动和</w:t>
            </w:r>
            <w:proofErr w:type="gramStart"/>
            <w:r>
              <w:rPr>
                <w:rFonts w:ascii="宋体" w:hAnsi="宋体" w:cs="宋体" w:hint="eastAsia"/>
                <w:color w:val="000000"/>
                <w:kern w:val="0"/>
                <w:sz w:val="20"/>
                <w:szCs w:val="20"/>
              </w:rPr>
              <w:t>氢燃料</w:t>
            </w:r>
            <w:proofErr w:type="gramEnd"/>
            <w:r>
              <w:rPr>
                <w:rFonts w:ascii="宋体" w:hAnsi="宋体" w:cs="宋体" w:hint="eastAsia"/>
                <w:color w:val="000000"/>
                <w:kern w:val="0"/>
                <w:sz w:val="20"/>
                <w:szCs w:val="20"/>
              </w:rPr>
              <w:t>汽车在各场景的推广路径和措施，结合北京城市发展要求和特点给出发展建议。</w:t>
            </w:r>
          </w:p>
        </w:tc>
        <w:tc>
          <w:tcPr>
            <w:tcW w:w="1859" w:type="pct"/>
            <w:vAlign w:val="center"/>
          </w:tcPr>
          <w:p w:rsidR="00ED315D" w:rsidRDefault="00EE6A88">
            <w:pPr>
              <w:pStyle w:val="af"/>
              <w:adjustRightInd w:val="0"/>
              <w:snapToGrid w:val="0"/>
              <w:ind w:firstLineChars="0" w:firstLine="0"/>
              <w:rPr>
                <w:rFonts w:ascii="宋体" w:hAnsi="宋体" w:cs="宋体"/>
                <w:color w:val="000000"/>
                <w:kern w:val="0"/>
                <w:sz w:val="20"/>
                <w:szCs w:val="20"/>
              </w:rPr>
            </w:pPr>
            <w:r>
              <w:rPr>
                <w:rFonts w:ascii="宋体" w:hAnsi="宋体" w:cs="宋体" w:hint="eastAsia"/>
                <w:sz w:val="20"/>
                <w:szCs w:val="20"/>
              </w:rPr>
              <w:t>开展交通行业节能减排战略、规划、政策的研究；编制本市交通行业节能减排标准；承担本市交通行业节能减排目标责任分解以及节能减排监测、统计、检测、评估等方面的工作；开展交通行业节能减</w:t>
            </w:r>
            <w:proofErr w:type="gramStart"/>
            <w:r>
              <w:rPr>
                <w:rFonts w:ascii="宋体" w:hAnsi="宋体" w:cs="宋体" w:hint="eastAsia"/>
                <w:sz w:val="20"/>
                <w:szCs w:val="20"/>
              </w:rPr>
              <w:t>排政策</w:t>
            </w:r>
            <w:proofErr w:type="gramEnd"/>
            <w:r>
              <w:rPr>
                <w:rFonts w:ascii="宋体" w:hAnsi="宋体" w:cs="宋体" w:hint="eastAsia"/>
                <w:sz w:val="20"/>
                <w:szCs w:val="20"/>
              </w:rPr>
              <w:t>宣传、技术推广、交流与合作等相关工作。</w:t>
            </w:r>
          </w:p>
        </w:tc>
      </w:tr>
      <w:tr w:rsidR="00ED315D">
        <w:trPr>
          <w:trHeight w:val="737"/>
        </w:trPr>
        <w:tc>
          <w:tcPr>
            <w:tcW w:w="479" w:type="pct"/>
            <w:vAlign w:val="center"/>
          </w:tcPr>
          <w:p w:rsidR="00ED315D" w:rsidRDefault="00EE6A88">
            <w:pPr>
              <w:pStyle w:val="af"/>
              <w:adjustRightInd w:val="0"/>
              <w:snapToGrid w:val="0"/>
              <w:ind w:firstLineChars="0" w:firstLine="0"/>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2662" w:type="pct"/>
            <w:vAlign w:val="center"/>
          </w:tcPr>
          <w:p w:rsidR="00ED315D" w:rsidRDefault="00EE6A88">
            <w:pPr>
              <w:pStyle w:val="af"/>
              <w:adjustRightInd w:val="0"/>
              <w:snapToGrid w:val="0"/>
              <w:ind w:firstLineChars="0" w:firstLine="0"/>
              <w:rPr>
                <w:rFonts w:ascii="宋体" w:hAnsi="宋体" w:cs="宋体"/>
                <w:color w:val="000000"/>
                <w:kern w:val="0"/>
                <w:sz w:val="20"/>
                <w:szCs w:val="20"/>
              </w:rPr>
            </w:pPr>
            <w:r>
              <w:rPr>
                <w:rFonts w:ascii="宋体" w:hAnsi="宋体" w:cs="宋体" w:hint="eastAsia"/>
                <w:color w:val="000000"/>
                <w:kern w:val="0"/>
                <w:sz w:val="20"/>
                <w:szCs w:val="20"/>
              </w:rPr>
              <w:t>保障部门人员稳定、日常运转，确保部门公共服务业务正常开展，提升部门社会</w:t>
            </w:r>
            <w:proofErr w:type="gramStart"/>
            <w:r>
              <w:rPr>
                <w:rFonts w:ascii="宋体" w:hAnsi="宋体" w:cs="宋体" w:hint="eastAsia"/>
                <w:color w:val="000000"/>
                <w:kern w:val="0"/>
                <w:sz w:val="20"/>
                <w:szCs w:val="20"/>
              </w:rPr>
              <w:t>履</w:t>
            </w:r>
            <w:proofErr w:type="gramEnd"/>
            <w:r>
              <w:rPr>
                <w:rFonts w:ascii="宋体" w:hAnsi="宋体" w:cs="宋体" w:hint="eastAsia"/>
                <w:color w:val="000000"/>
                <w:kern w:val="0"/>
                <w:sz w:val="20"/>
                <w:szCs w:val="20"/>
              </w:rPr>
              <w:t>职能力。</w:t>
            </w:r>
          </w:p>
        </w:tc>
        <w:tc>
          <w:tcPr>
            <w:tcW w:w="1859" w:type="pct"/>
            <w:vAlign w:val="center"/>
          </w:tcPr>
          <w:p w:rsidR="00ED315D" w:rsidRDefault="00EE6A88">
            <w:pPr>
              <w:pStyle w:val="af"/>
              <w:adjustRightInd w:val="0"/>
              <w:snapToGrid w:val="0"/>
              <w:ind w:firstLineChars="0" w:firstLine="0"/>
              <w:rPr>
                <w:rFonts w:ascii="宋体" w:hAnsi="宋体" w:cs="宋体"/>
                <w:color w:val="000000"/>
                <w:kern w:val="0"/>
                <w:sz w:val="20"/>
                <w:szCs w:val="20"/>
              </w:rPr>
            </w:pPr>
            <w:r>
              <w:rPr>
                <w:rFonts w:ascii="宋体" w:hAnsi="宋体" w:cs="宋体" w:hint="eastAsia"/>
                <w:color w:val="000000"/>
                <w:kern w:val="0"/>
                <w:sz w:val="20"/>
                <w:szCs w:val="20"/>
              </w:rPr>
              <w:t>部门日常运转。</w:t>
            </w:r>
          </w:p>
        </w:tc>
      </w:tr>
    </w:tbl>
    <w:p w:rsidR="00ED315D" w:rsidRDefault="00ED315D">
      <w:pPr>
        <w:pStyle w:val="af"/>
        <w:adjustRightInd w:val="0"/>
        <w:snapToGrid w:val="0"/>
        <w:ind w:firstLineChars="0" w:firstLine="0"/>
        <w:rPr>
          <w:rFonts w:ascii="仿宋_GB2312" w:eastAsia="仿宋_GB2312" w:hAnsi="宋体" w:cs="宋体"/>
          <w:color w:val="000000"/>
          <w:kern w:val="0"/>
          <w:sz w:val="32"/>
          <w:szCs w:val="32"/>
        </w:rPr>
      </w:pPr>
    </w:p>
    <w:p w:rsidR="00ED315D" w:rsidRDefault="00EE6A88">
      <w:pPr>
        <w:pStyle w:val="af"/>
        <w:adjustRightInd w:val="0"/>
        <w:snapToGrid w:val="0"/>
        <w:spacing w:line="360" w:lineRule="auto"/>
        <w:ind w:firstLine="640"/>
        <w:rPr>
          <w:rFonts w:ascii="黑体" w:hAnsi="黑体"/>
          <w:sz w:val="24"/>
        </w:rPr>
      </w:pPr>
      <w:r>
        <w:rPr>
          <w:rFonts w:ascii="仿宋_GB2312" w:eastAsia="仿宋_GB2312" w:hAnsi="宋体" w:cs="宋体" w:hint="eastAsia"/>
          <w:color w:val="000000"/>
          <w:kern w:val="0"/>
          <w:sz w:val="32"/>
          <w:szCs w:val="32"/>
        </w:rPr>
        <w:t>3.目标合理性</w:t>
      </w:r>
    </w:p>
    <w:p w:rsidR="00ED315D" w:rsidRDefault="00EE6A88">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w:t>
      </w: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2年度，交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院部门绩效目标整体绩效目标涉及</w:t>
      </w:r>
      <w:proofErr w:type="gramStart"/>
      <w:r>
        <w:rPr>
          <w:rFonts w:ascii="仿宋_GB2312" w:eastAsia="仿宋_GB2312" w:hAnsi="宋体" w:cs="宋体" w:hint="eastAsia"/>
          <w:color w:val="000000"/>
          <w:kern w:val="0"/>
          <w:sz w:val="32"/>
          <w:szCs w:val="32"/>
        </w:rPr>
        <w:t>交规划</w:t>
      </w:r>
      <w:proofErr w:type="gramEnd"/>
      <w:r>
        <w:rPr>
          <w:rFonts w:ascii="仿宋_GB2312" w:eastAsia="仿宋_GB2312" w:hAnsi="宋体" w:cs="宋体" w:hint="eastAsia"/>
          <w:color w:val="000000"/>
          <w:kern w:val="0"/>
          <w:sz w:val="32"/>
          <w:szCs w:val="32"/>
        </w:rPr>
        <w:t>研究、交通战略研究、智能交通建设、交通综合调查、交通技术研发、轨道交通运营服务研究、节能减</w:t>
      </w:r>
      <w:proofErr w:type="gramStart"/>
      <w:r>
        <w:rPr>
          <w:rFonts w:ascii="仿宋_GB2312" w:eastAsia="仿宋_GB2312" w:hAnsi="宋体" w:cs="宋体" w:hint="eastAsia"/>
          <w:color w:val="000000"/>
          <w:kern w:val="0"/>
          <w:sz w:val="32"/>
          <w:szCs w:val="32"/>
        </w:rPr>
        <w:t>排工作</w:t>
      </w:r>
      <w:proofErr w:type="gramEnd"/>
      <w:r>
        <w:rPr>
          <w:rFonts w:ascii="仿宋_GB2312" w:eastAsia="仿宋_GB2312" w:hAnsi="宋体" w:cs="宋体" w:hint="eastAsia"/>
          <w:color w:val="000000"/>
          <w:kern w:val="0"/>
          <w:sz w:val="32"/>
          <w:szCs w:val="32"/>
        </w:rPr>
        <w:t>等多个方面，相关目标设立与《北京城市总体规划（2016年-2030年）》中“落实首都城市战略定位，明确发展目标”、“科学配置资源要素，提高城市发展水平”的主要任务有关；与中共中央、国务院印发的《交通强国建设纲要》中提出的“推进数据资源赋能交通发展，构建泛在先进的交通信息基础设施，构建综合交通大数据中心体系”等战略任务相关；与中</w:t>
      </w:r>
      <w:r>
        <w:rPr>
          <w:rFonts w:ascii="仿宋_GB2312" w:eastAsia="仿宋_GB2312" w:hAnsi="宋体" w:cs="宋体" w:hint="eastAsia"/>
          <w:color w:val="000000"/>
          <w:kern w:val="0"/>
          <w:sz w:val="32"/>
          <w:szCs w:val="32"/>
        </w:rPr>
        <w:lastRenderedPageBreak/>
        <w:t>共中央、国务院印发的《国家综合立体交通网规划纲要》中“到2035年，基本建成便捷顺畅、经济高效、绿色集约、智能先进、安全可靠的现代化高质量国家综合立体交通网”等重点工作任务密切相关。同时，部门整体绩效目标与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院开展交通发展战略研究、探析城市交通发展热点问题、为市政府提供交通发展决策依据等职能相符。</w:t>
      </w:r>
    </w:p>
    <w:p w:rsidR="00ED315D" w:rsidRDefault="00EE6A88">
      <w:pPr>
        <w:adjustRightInd w:val="0"/>
        <w:snapToGrid w:val="0"/>
        <w:spacing w:line="360" w:lineRule="auto"/>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rsidR="00ED315D" w:rsidRDefault="00EE6A88">
      <w:pPr>
        <w:adjustRightInd w:val="0"/>
        <w:snapToGrid w:val="0"/>
        <w:spacing w:line="360" w:lineRule="auto"/>
        <w:ind w:firstLineChars="200" w:firstLine="643"/>
        <w:rPr>
          <w:rFonts w:ascii="仿宋_GB2312" w:eastAsia="仿宋_GB2312" w:hAnsi="宋体" w:cs="宋体"/>
          <w:color w:val="000000"/>
          <w:kern w:val="0"/>
          <w:sz w:val="32"/>
          <w:szCs w:val="32"/>
        </w:rPr>
      </w:pPr>
      <w:r>
        <w:rPr>
          <w:rFonts w:ascii="仿宋_GB2312" w:eastAsia="仿宋_GB2312" w:hAnsi="宋体" w:cs="宋体" w:hint="eastAsia"/>
          <w:b/>
          <w:color w:val="000000"/>
          <w:kern w:val="0"/>
          <w:sz w:val="32"/>
          <w:szCs w:val="32"/>
        </w:rPr>
        <w:t>年度总预算方面：</w:t>
      </w:r>
      <w:r>
        <w:rPr>
          <w:rFonts w:ascii="仿宋_GB2312" w:eastAsia="仿宋_GB2312" w:hAnsi="宋体" w:cs="宋体" w:hint="eastAsia"/>
          <w:color w:val="000000"/>
          <w:kern w:val="0"/>
          <w:sz w:val="32"/>
          <w:szCs w:val="32"/>
        </w:rPr>
        <w:t>2022年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预算数26,246.</w:t>
      </w: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1万元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预算数4</w:t>
      </w:r>
      <w:r>
        <w:rPr>
          <w:rFonts w:ascii="仿宋_GB2312" w:eastAsia="仿宋_GB2312" w:hAnsi="宋体" w:cs="宋体" w:hint="eastAsia"/>
          <w:color w:val="000000"/>
          <w:kern w:val="0"/>
          <w:sz w:val="32"/>
          <w:szCs w:val="32"/>
        </w:rPr>
        <w:t>,860.21</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hAnsi="宋体" w:cs="宋体"/>
          <w:color w:val="000000"/>
          <w:kern w:val="0"/>
          <w:sz w:val="32"/>
          <w:szCs w:val="32"/>
        </w:rPr>
        <w:t>21</w:t>
      </w:r>
      <w:r>
        <w:rPr>
          <w:rFonts w:ascii="仿宋_GB2312" w:eastAsia="仿宋_GB2312" w:hAnsi="宋体" w:cs="宋体" w:hint="eastAsia"/>
          <w:color w:val="000000"/>
          <w:kern w:val="0"/>
          <w:sz w:val="32"/>
          <w:szCs w:val="32"/>
        </w:rPr>
        <w:t>,386.10</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2,1</w:t>
      </w:r>
      <w:r>
        <w:rPr>
          <w:rFonts w:ascii="仿宋_GB2312" w:eastAsia="仿宋_GB2312" w:hAnsi="宋体" w:cs="宋体"/>
          <w:color w:val="000000"/>
          <w:kern w:val="0"/>
          <w:sz w:val="32"/>
          <w:szCs w:val="32"/>
        </w:rPr>
        <w:t>77</w:t>
      </w:r>
      <w:r>
        <w:rPr>
          <w:rFonts w:ascii="仿宋_GB2312" w:eastAsia="仿宋_GB2312" w:hAnsi="宋体" w:cs="宋体" w:hint="eastAsia"/>
          <w:color w:val="000000"/>
          <w:kern w:val="0"/>
          <w:sz w:val="32"/>
          <w:szCs w:val="32"/>
        </w:rPr>
        <w:t>.92</w:t>
      </w:r>
      <w:r>
        <w:rPr>
          <w:rFonts w:ascii="仿宋_GB2312" w:eastAsia="仿宋_GB2312" w:hAnsi="宋体" w:cs="宋体"/>
          <w:color w:val="000000"/>
          <w:kern w:val="0"/>
          <w:sz w:val="32"/>
          <w:szCs w:val="32"/>
        </w:rPr>
        <w:t>万元，其中，基本支出4</w:t>
      </w:r>
      <w:r>
        <w:rPr>
          <w:rFonts w:ascii="仿宋_GB2312" w:eastAsia="仿宋_GB2312" w:hAnsi="宋体" w:cs="宋体" w:hint="eastAsia"/>
          <w:color w:val="000000"/>
          <w:kern w:val="0"/>
          <w:sz w:val="32"/>
          <w:szCs w:val="32"/>
        </w:rPr>
        <w:t>,860.21</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7</w:t>
      </w:r>
      <w:r>
        <w:rPr>
          <w:rFonts w:ascii="仿宋_GB2312" w:eastAsia="仿宋_GB2312" w:hAnsi="宋体" w:cs="宋体" w:hint="eastAsia"/>
          <w:color w:val="000000"/>
          <w:kern w:val="0"/>
          <w:sz w:val="32"/>
          <w:szCs w:val="32"/>
        </w:rPr>
        <w:t>,317.72</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。年度总预算</w:t>
      </w:r>
      <w:r>
        <w:rPr>
          <w:rFonts w:ascii="仿宋_GB2312" w:eastAsia="仿宋_GB2312" w:hAnsi="宋体" w:cs="宋体"/>
          <w:color w:val="000000"/>
          <w:kern w:val="0"/>
          <w:sz w:val="32"/>
          <w:szCs w:val="32"/>
        </w:rPr>
        <w:t>执行率为</w:t>
      </w:r>
      <w:r>
        <w:rPr>
          <w:rFonts w:ascii="仿宋_GB2312" w:eastAsia="仿宋_GB2312" w:hAnsi="宋体" w:cs="宋体" w:hint="eastAsia"/>
          <w:color w:val="000000"/>
          <w:kern w:val="0"/>
          <w:sz w:val="32"/>
          <w:szCs w:val="32"/>
        </w:rPr>
        <w:t>46.40%。执行率较低的主要原因是：按决算编报要求，将单位以前年度全部非财政拨款结转、结余纳入年初预算，考虑到这部分结余是交</w:t>
      </w:r>
      <w:proofErr w:type="gramStart"/>
      <w:r>
        <w:rPr>
          <w:rFonts w:ascii="仿宋_GB2312" w:eastAsia="仿宋_GB2312" w:hAnsi="宋体" w:cs="宋体" w:hint="eastAsia"/>
          <w:color w:val="000000"/>
          <w:kern w:val="0"/>
          <w:sz w:val="32"/>
          <w:szCs w:val="32"/>
        </w:rPr>
        <w:t>研院今后</w:t>
      </w:r>
      <w:proofErr w:type="gramEnd"/>
      <w:r>
        <w:rPr>
          <w:rFonts w:ascii="仿宋_GB2312" w:eastAsia="仿宋_GB2312" w:hAnsi="宋体" w:cs="宋体" w:hint="eastAsia"/>
          <w:color w:val="000000"/>
          <w:kern w:val="0"/>
          <w:sz w:val="32"/>
          <w:szCs w:val="32"/>
        </w:rPr>
        <w:t>发展的保障，</w:t>
      </w:r>
      <w:proofErr w:type="gramStart"/>
      <w:r>
        <w:rPr>
          <w:rFonts w:ascii="仿宋_GB2312" w:eastAsia="仿宋_GB2312" w:hAnsi="宋体" w:cs="宋体" w:hint="eastAsia"/>
          <w:color w:val="000000"/>
          <w:kern w:val="0"/>
          <w:sz w:val="32"/>
          <w:szCs w:val="32"/>
        </w:rPr>
        <w:t>故当年</w:t>
      </w:r>
      <w:proofErr w:type="gramEnd"/>
      <w:r>
        <w:rPr>
          <w:rFonts w:ascii="仿宋_GB2312" w:eastAsia="仿宋_GB2312" w:hAnsi="宋体" w:cs="宋体" w:hint="eastAsia"/>
          <w:color w:val="000000"/>
          <w:kern w:val="0"/>
          <w:sz w:val="32"/>
          <w:szCs w:val="32"/>
        </w:rPr>
        <w:t>没有全部安排支出使用，导致</w:t>
      </w:r>
      <w:r>
        <w:rPr>
          <w:rFonts w:ascii="仿宋_GB2312" w:eastAsia="仿宋_GB2312" w:hAnsi="宋体" w:cs="宋体"/>
          <w:color w:val="000000"/>
          <w:kern w:val="0"/>
          <w:sz w:val="32"/>
          <w:szCs w:val="32"/>
        </w:rPr>
        <w:t>预决算</w:t>
      </w:r>
      <w:r>
        <w:rPr>
          <w:rFonts w:ascii="仿宋_GB2312" w:eastAsia="仿宋_GB2312" w:hAnsi="宋体" w:cs="宋体" w:hint="eastAsia"/>
          <w:color w:val="000000"/>
          <w:kern w:val="0"/>
          <w:sz w:val="32"/>
          <w:szCs w:val="32"/>
        </w:rPr>
        <w:t>对比执行率不高。</w:t>
      </w:r>
    </w:p>
    <w:p w:rsidR="00ED315D" w:rsidRDefault="00EE6A88">
      <w:pPr>
        <w:adjustRightInd w:val="0"/>
        <w:snapToGrid w:val="0"/>
        <w:spacing w:line="360" w:lineRule="auto"/>
        <w:ind w:firstLineChars="200" w:firstLine="643"/>
        <w:rPr>
          <w:rFonts w:ascii="仿宋_GB2312" w:eastAsia="仿宋_GB2312" w:hAnsi="宋体" w:cs="宋体"/>
          <w:color w:val="000000"/>
          <w:kern w:val="0"/>
          <w:sz w:val="32"/>
          <w:szCs w:val="32"/>
        </w:rPr>
      </w:pPr>
      <w:r>
        <w:rPr>
          <w:rFonts w:ascii="仿宋_GB2312" w:eastAsia="仿宋_GB2312" w:hAnsi="宋体" w:cs="宋体" w:hint="eastAsia"/>
          <w:b/>
          <w:color w:val="000000"/>
          <w:kern w:val="0"/>
          <w:sz w:val="32"/>
          <w:szCs w:val="32"/>
        </w:rPr>
        <w:t>财政拨款方面：</w:t>
      </w:r>
      <w:r>
        <w:rPr>
          <w:rFonts w:ascii="仿宋_GB2312" w:eastAsia="仿宋_GB2312" w:hAnsi="宋体" w:cs="宋体"/>
          <w:color w:val="000000"/>
          <w:kern w:val="0"/>
          <w:sz w:val="32"/>
          <w:szCs w:val="32"/>
        </w:rPr>
        <w:t>202</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年，全年</w:t>
      </w:r>
      <w:r>
        <w:rPr>
          <w:rFonts w:ascii="仿宋_GB2312" w:eastAsia="仿宋_GB2312" w:hAnsi="宋体" w:cs="宋体" w:hint="eastAsia"/>
          <w:color w:val="000000"/>
          <w:kern w:val="0"/>
          <w:sz w:val="32"/>
          <w:szCs w:val="32"/>
        </w:rPr>
        <w:t>预算数6</w:t>
      </w:r>
      <w:r>
        <w:rPr>
          <w:rFonts w:ascii="仿宋_GB2312" w:eastAsia="仿宋_GB2312"/>
          <w:bCs/>
          <w:sz w:val="32"/>
          <w:szCs w:val="32"/>
        </w:rPr>
        <w:t>,</w:t>
      </w:r>
      <w:r>
        <w:rPr>
          <w:rFonts w:ascii="仿宋_GB2312" w:eastAsia="仿宋_GB2312" w:hint="eastAsia"/>
          <w:bCs/>
          <w:sz w:val="32"/>
          <w:szCs w:val="32"/>
        </w:rPr>
        <w:t>942</w:t>
      </w:r>
      <w:r>
        <w:rPr>
          <w:rFonts w:ascii="仿宋_GB2312" w:eastAsia="仿宋_GB2312"/>
          <w:bCs/>
          <w:sz w:val="32"/>
          <w:szCs w:val="32"/>
        </w:rPr>
        <w:t>.</w:t>
      </w:r>
      <w:r>
        <w:rPr>
          <w:rFonts w:ascii="仿宋_GB2312" w:eastAsia="仿宋_GB2312" w:hint="eastAsia"/>
          <w:bCs/>
          <w:sz w:val="32"/>
          <w:szCs w:val="32"/>
        </w:rPr>
        <w:t>44</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Pr>
          <w:rFonts w:ascii="仿宋_GB2312" w:eastAsia="仿宋_GB2312"/>
          <w:bCs/>
          <w:sz w:val="32"/>
          <w:szCs w:val="32"/>
        </w:rPr>
        <w:t>2,</w:t>
      </w:r>
      <w:r>
        <w:rPr>
          <w:rFonts w:ascii="仿宋_GB2312" w:eastAsia="仿宋_GB2312" w:hint="eastAsia"/>
          <w:bCs/>
          <w:sz w:val="32"/>
          <w:szCs w:val="32"/>
        </w:rPr>
        <w:t>482</w:t>
      </w:r>
      <w:r>
        <w:rPr>
          <w:rFonts w:ascii="仿宋_GB2312" w:eastAsia="仿宋_GB2312"/>
          <w:bCs/>
          <w:sz w:val="32"/>
          <w:szCs w:val="32"/>
        </w:rPr>
        <w:t>.</w:t>
      </w:r>
      <w:r>
        <w:rPr>
          <w:rFonts w:ascii="仿宋_GB2312" w:eastAsia="仿宋_GB2312" w:hint="eastAsia"/>
          <w:bCs/>
          <w:sz w:val="32"/>
          <w:szCs w:val="32"/>
        </w:rPr>
        <w:t>7</w:t>
      </w:r>
      <w:r>
        <w:rPr>
          <w:rFonts w:ascii="仿宋_GB2312" w:eastAsia="仿宋_GB2312"/>
          <w:bCs/>
          <w:sz w:val="32"/>
          <w:szCs w:val="32"/>
        </w:rPr>
        <w:t>2</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Pr>
          <w:rFonts w:ascii="仿宋_GB2312" w:eastAsia="仿宋_GB2312"/>
          <w:bCs/>
          <w:sz w:val="32"/>
          <w:szCs w:val="32"/>
        </w:rPr>
        <w:t>4,</w:t>
      </w:r>
      <w:r>
        <w:rPr>
          <w:rFonts w:ascii="仿宋_GB2312" w:eastAsia="仿宋_GB2312" w:hint="eastAsia"/>
          <w:bCs/>
          <w:sz w:val="32"/>
          <w:szCs w:val="32"/>
        </w:rPr>
        <w:t>459</w:t>
      </w:r>
      <w:r>
        <w:rPr>
          <w:rFonts w:ascii="仿宋_GB2312" w:eastAsia="仿宋_GB2312"/>
          <w:bCs/>
          <w:sz w:val="32"/>
          <w:szCs w:val="32"/>
        </w:rPr>
        <w:t>.</w:t>
      </w:r>
      <w:r>
        <w:rPr>
          <w:rFonts w:ascii="仿宋_GB2312" w:eastAsia="仿宋_GB2312" w:hint="eastAsia"/>
          <w:bCs/>
          <w:sz w:val="32"/>
          <w:szCs w:val="32"/>
        </w:rPr>
        <w:t>72</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资金总体</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6,</w:t>
      </w:r>
      <w:r>
        <w:rPr>
          <w:rFonts w:ascii="仿宋_GB2312" w:eastAsia="仿宋_GB2312" w:hAnsi="宋体" w:cs="宋体" w:hint="eastAsia"/>
          <w:color w:val="000000"/>
          <w:kern w:val="0"/>
          <w:sz w:val="32"/>
          <w:szCs w:val="32"/>
        </w:rPr>
        <w:t>846</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33</w:t>
      </w:r>
      <w:r>
        <w:rPr>
          <w:rFonts w:ascii="仿宋_GB2312" w:eastAsia="仿宋_GB2312" w:hAnsi="宋体" w:cs="宋体"/>
          <w:color w:val="000000"/>
          <w:kern w:val="0"/>
          <w:sz w:val="32"/>
          <w:szCs w:val="32"/>
        </w:rPr>
        <w:t>万元，其中，基本支出2,3</w:t>
      </w:r>
      <w:r>
        <w:rPr>
          <w:rFonts w:ascii="仿宋_GB2312" w:eastAsia="仿宋_GB2312" w:hAnsi="宋体" w:cs="宋体" w:hint="eastAsia"/>
          <w:color w:val="000000"/>
          <w:kern w:val="0"/>
          <w:sz w:val="32"/>
          <w:szCs w:val="32"/>
        </w:rPr>
        <w:t>8</w:t>
      </w:r>
      <w:r>
        <w:rPr>
          <w:rFonts w:ascii="仿宋_GB2312" w:eastAsia="仿宋_GB2312" w:hAnsi="宋体" w:cs="宋体"/>
          <w:color w:val="000000"/>
          <w:kern w:val="0"/>
          <w:sz w:val="32"/>
          <w:szCs w:val="32"/>
        </w:rPr>
        <w:t>6</w:t>
      </w:r>
      <w:r>
        <w:rPr>
          <w:rFonts w:ascii="仿宋_GB2312" w:eastAsia="仿宋_GB2312" w:hAnsi="宋体" w:cs="宋体" w:hint="eastAsia"/>
          <w:color w:val="000000"/>
          <w:kern w:val="0"/>
          <w:sz w:val="32"/>
          <w:szCs w:val="32"/>
        </w:rPr>
        <w:t>.61</w:t>
      </w:r>
      <w:r>
        <w:rPr>
          <w:rFonts w:ascii="仿宋_GB2312" w:eastAsia="仿宋_GB2312" w:hAnsi="宋体" w:cs="宋体"/>
          <w:color w:val="000000"/>
          <w:kern w:val="0"/>
          <w:sz w:val="32"/>
          <w:szCs w:val="32"/>
        </w:rPr>
        <w:t>万元，项目</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459</w:t>
      </w:r>
      <w:r>
        <w:rPr>
          <w:rFonts w:ascii="仿宋_GB2312" w:eastAsia="仿宋_GB2312" w:hAnsi="宋体" w:cs="宋体"/>
          <w:color w:val="000000"/>
          <w:kern w:val="0"/>
          <w:sz w:val="32"/>
          <w:szCs w:val="32"/>
        </w:rPr>
        <w:t>.7</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预算</w:t>
      </w:r>
      <w:r>
        <w:rPr>
          <w:rFonts w:ascii="仿宋_GB2312" w:eastAsia="仿宋_GB2312" w:hAnsi="宋体" w:cs="宋体"/>
          <w:color w:val="000000"/>
          <w:kern w:val="0"/>
          <w:sz w:val="32"/>
          <w:szCs w:val="32"/>
        </w:rPr>
        <w:t>执行率为9</w:t>
      </w:r>
      <w:r>
        <w:rPr>
          <w:rFonts w:ascii="仿宋_GB2312" w:eastAsia="仿宋_GB2312" w:hAnsi="宋体" w:cs="宋体" w:hint="eastAsia"/>
          <w:color w:val="000000"/>
          <w:kern w:val="0"/>
          <w:sz w:val="32"/>
          <w:szCs w:val="32"/>
        </w:rPr>
        <w:t>8</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62</w:t>
      </w:r>
      <w:r>
        <w:rPr>
          <w:rFonts w:ascii="仿宋_GB2312" w:eastAsia="仿宋_GB2312" w:hAnsi="宋体" w:cs="宋体"/>
          <w:color w:val="000000"/>
          <w:kern w:val="0"/>
          <w:sz w:val="32"/>
          <w:szCs w:val="32"/>
        </w:rPr>
        <w:t>%。</w:t>
      </w:r>
    </w:p>
    <w:p w:rsidR="00ED315D" w:rsidRDefault="00EE6A88">
      <w:pPr>
        <w:adjustRightInd w:val="0"/>
        <w:snapToGrid w:val="0"/>
        <w:spacing w:line="360" w:lineRule="auto"/>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rsidR="00ED315D" w:rsidRDefault="00EE6A88">
      <w:pPr>
        <w:adjustRightInd w:val="0"/>
        <w:snapToGrid w:val="0"/>
        <w:spacing w:line="360" w:lineRule="auto"/>
        <w:ind w:firstLineChars="200" w:firstLine="640"/>
        <w:rPr>
          <w:rFonts w:ascii="楷体_GB2312" w:eastAsia="楷体_GB2312"/>
          <w:sz w:val="32"/>
          <w:szCs w:val="32"/>
        </w:rPr>
      </w:pPr>
      <w:r>
        <w:rPr>
          <w:rFonts w:ascii="仿宋_GB2312" w:eastAsia="仿宋_GB2312" w:hint="eastAsia"/>
          <w:sz w:val="32"/>
          <w:szCs w:val="32"/>
        </w:rPr>
        <w:t>2022年度，交</w:t>
      </w:r>
      <w:proofErr w:type="gramStart"/>
      <w:r>
        <w:rPr>
          <w:rFonts w:ascii="仿宋_GB2312" w:eastAsia="仿宋_GB2312" w:hint="eastAsia"/>
          <w:sz w:val="32"/>
          <w:szCs w:val="32"/>
        </w:rPr>
        <w:t>研</w:t>
      </w:r>
      <w:proofErr w:type="gramEnd"/>
      <w:r>
        <w:rPr>
          <w:rFonts w:ascii="仿宋_GB2312" w:eastAsia="仿宋_GB2312" w:hint="eastAsia"/>
          <w:sz w:val="32"/>
          <w:szCs w:val="32"/>
        </w:rPr>
        <w:t>院部门日常管理工作基本按计划实施，</w:t>
      </w:r>
      <w:r>
        <w:rPr>
          <w:rFonts w:ascii="仿宋_GB2312" w:eastAsia="仿宋_GB2312" w:hint="eastAsia"/>
          <w:sz w:val="32"/>
          <w:szCs w:val="32"/>
        </w:rPr>
        <w:lastRenderedPageBreak/>
        <w:t>大部分项目实施及年度完成情况较好，较好的实现了绩效目标，整体绩效目标实现情况如下：</w:t>
      </w:r>
    </w:p>
    <w:p w:rsidR="00ED315D" w:rsidRDefault="00EE6A88">
      <w:pPr>
        <w:adjustRightInd w:val="0"/>
        <w:snapToGrid w:val="0"/>
        <w:spacing w:line="360" w:lineRule="auto"/>
        <w:ind w:firstLineChars="200" w:firstLine="640"/>
        <w:outlineLvl w:val="1"/>
        <w:rPr>
          <w:rFonts w:ascii="楷体_GB2312" w:eastAsia="楷体_GB2312"/>
          <w:sz w:val="32"/>
          <w:szCs w:val="32"/>
        </w:rPr>
      </w:pPr>
      <w:r>
        <w:rPr>
          <w:rFonts w:ascii="楷体_GB2312" w:eastAsia="楷体_GB2312" w:hint="eastAsia"/>
          <w:sz w:val="32"/>
          <w:szCs w:val="32"/>
        </w:rPr>
        <w:t>（一）产出完成情况分析</w:t>
      </w:r>
    </w:p>
    <w:p w:rsidR="00ED315D" w:rsidRDefault="00EE6A88">
      <w:pPr>
        <w:pStyle w:val="af"/>
        <w:adjustRightInd w:val="0"/>
        <w:snapToGrid w:val="0"/>
        <w:spacing w:line="360" w:lineRule="auto"/>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产出数量</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（1）交通规划研究方面。</w:t>
      </w:r>
      <w:r>
        <w:rPr>
          <w:rFonts w:ascii="仿宋_GB2312" w:eastAsia="仿宋_GB2312" w:hAnsi="宋体" w:cs="宋体" w:hint="eastAsia"/>
          <w:color w:val="000000"/>
          <w:kern w:val="0"/>
          <w:sz w:val="32"/>
          <w:szCs w:val="32"/>
        </w:rPr>
        <w:t>开展了公交线网动态优化调整与评估研究，形成1篇《公交线网动态优化调整与评估研究结题研究成果》；开展了交通热点问题调研及对策研究，形成了《亚运村街道交通综合治理方案研究》1篇报告；开展了重点区域、通道或节点缓堵措施研究，形成了《2022年度交通缓堵措施研究》的报告1篇。</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（2）交通战略研究方面。</w:t>
      </w:r>
      <w:r>
        <w:rPr>
          <w:rFonts w:ascii="仿宋_GB2312" w:eastAsia="仿宋_GB2312" w:hAnsi="宋体" w:cs="宋体" w:hint="eastAsia"/>
          <w:bCs/>
          <w:color w:val="000000"/>
          <w:kern w:val="0"/>
          <w:sz w:val="32"/>
          <w:szCs w:val="32"/>
        </w:rPr>
        <w:t>重点研究城市交通枢纽与社会经济融合发展、数字经济与城市交通转型发展的相互作用及影响、市场化改革支撑交通发展“降本增效”实施路径、以降低交通负外部成本为导向的需求管理政策设计等内容，形成了《城市交通经济与成本研究报告》1份、《伦敦、巴黎和纽约都市圈停车治理经验研究报告》1份、《世界大城市轨道交通促进城市高质量经验研究报告》1份；通过研究城市交通发展战略、交通政策、交通与城市的发展关系等方面工作，形成了《国际城市交通发展战略》研究报告1份。</w:t>
      </w:r>
    </w:p>
    <w:p w:rsidR="00ED315D" w:rsidRDefault="00EE6A88">
      <w:pPr>
        <w:pStyle w:val="af"/>
        <w:adjustRightInd w:val="0"/>
        <w:snapToGrid w:val="0"/>
        <w:spacing w:line="360" w:lineRule="auto"/>
        <w:ind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（3）智能交通建设方面。</w:t>
      </w:r>
      <w:r>
        <w:rPr>
          <w:rFonts w:ascii="仿宋_GB2312" w:eastAsia="仿宋_GB2312" w:hAnsi="宋体" w:cs="宋体" w:hint="eastAsia"/>
          <w:color w:val="000000"/>
          <w:kern w:val="0"/>
          <w:sz w:val="32"/>
          <w:szCs w:val="32"/>
        </w:rPr>
        <w:t>开展了多模式出行特征与交通运行监测评估关键技术研究</w:t>
      </w:r>
      <w:r>
        <w:rPr>
          <w:rFonts w:ascii="仿宋_GB2312" w:eastAsia="仿宋_GB2312" w:hAnsi="宋体" w:cs="宋体" w:hint="eastAsia"/>
          <w:b/>
          <w:bCs/>
          <w:color w:val="000000"/>
          <w:kern w:val="0"/>
          <w:sz w:val="32"/>
          <w:szCs w:val="32"/>
        </w:rPr>
        <w:t>，</w:t>
      </w:r>
      <w:r>
        <w:rPr>
          <w:rFonts w:ascii="仿宋_GB2312" w:eastAsia="仿宋_GB2312" w:hAnsi="宋体" w:cs="宋体" w:hint="eastAsia"/>
          <w:color w:val="000000"/>
          <w:kern w:val="0"/>
          <w:sz w:val="32"/>
          <w:szCs w:val="32"/>
        </w:rPr>
        <w:t>形成了21篇交通运行分析报告、3篇出行特征分析与评价专题报告、1篇调研报告、1</w:t>
      </w:r>
      <w:r>
        <w:rPr>
          <w:rFonts w:ascii="仿宋_GB2312" w:eastAsia="仿宋_GB2312" w:hAnsi="宋体" w:cs="宋体" w:hint="eastAsia"/>
          <w:color w:val="000000"/>
          <w:kern w:val="0"/>
          <w:sz w:val="32"/>
          <w:szCs w:val="32"/>
        </w:rPr>
        <w:lastRenderedPageBreak/>
        <w:t>篇公交线路评价报告、1个多模式数据关联分析模块等成果；完成了2022年度公共交通网的增量更新和属性维护及地面公交网与道路网的匹配关系建立，产出公共交通GIS</w:t>
      </w:r>
      <w:proofErr w:type="gramStart"/>
      <w:r>
        <w:rPr>
          <w:rFonts w:ascii="仿宋_GB2312" w:eastAsia="仿宋_GB2312" w:hAnsi="宋体" w:cs="宋体" w:hint="eastAsia"/>
          <w:color w:val="000000"/>
          <w:kern w:val="0"/>
          <w:sz w:val="32"/>
          <w:szCs w:val="32"/>
        </w:rPr>
        <w:t>图层1张</w:t>
      </w:r>
      <w:proofErr w:type="gramEnd"/>
      <w:r>
        <w:rPr>
          <w:rFonts w:ascii="仿宋_GB2312" w:eastAsia="仿宋_GB2312" w:hAnsi="宋体" w:cs="宋体" w:hint="eastAsia"/>
          <w:color w:val="000000"/>
          <w:kern w:val="0"/>
          <w:sz w:val="32"/>
          <w:szCs w:val="32"/>
        </w:rPr>
        <w:t>，地面公交线路属性表1张，地面公交站点属性表1张，产出地面公交线路与道路网匹配关系1张；完成了年度的机房及网站运维，形成了每月的网站维护报告、数据监测及数据备份报告、蓝光备份平台维护报告、日常办公维护报告、信息安全报告、机房硬件巡检报告等。</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highlight w:val="yellow"/>
        </w:rPr>
      </w:pPr>
      <w:r>
        <w:rPr>
          <w:rFonts w:ascii="仿宋_GB2312" w:eastAsia="仿宋_GB2312" w:hAnsi="宋体" w:cs="宋体" w:hint="eastAsia"/>
          <w:b/>
          <w:bCs/>
          <w:color w:val="000000"/>
          <w:kern w:val="0"/>
          <w:sz w:val="32"/>
          <w:szCs w:val="32"/>
        </w:rPr>
        <w:t>（4）交通综合调查方面。</w:t>
      </w:r>
      <w:r>
        <w:rPr>
          <w:rFonts w:ascii="仿宋_GB2312" w:eastAsia="仿宋_GB2312" w:hAnsi="宋体" w:cs="宋体" w:hint="eastAsia"/>
          <w:color w:val="000000"/>
          <w:kern w:val="0"/>
          <w:sz w:val="32"/>
          <w:szCs w:val="32"/>
        </w:rPr>
        <w:t>跟踪调查了全市出行规律变化，探索了交通调查新技术，完成了年度小样本交通调查，为掌握交通发展规律、交通政策的制定、交通规划的编制提供了数据基础，为更新和标定交通模型提供了数据基础，并根据调查数据分析成果及收集汇总的交通相关数据，编写完成《2022年北京市交通发展年度报告》《2022年年度交通综合调查分析报告》。</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（5）交通技术研发方面。</w:t>
      </w:r>
      <w:r>
        <w:rPr>
          <w:rFonts w:ascii="仿宋_GB2312" w:eastAsia="仿宋_GB2312" w:hAnsi="宋体" w:cs="宋体" w:hint="eastAsia"/>
          <w:bCs/>
          <w:color w:val="000000"/>
          <w:kern w:val="0"/>
          <w:sz w:val="32"/>
          <w:szCs w:val="32"/>
        </w:rPr>
        <w:t>开展了特大城市交通拥堵治理仿真技术研究，完成了1套微观行为模型、1套典型违规行为识别技术、1套小目标识别算法、1套需求预测交互平台、100小时的有效航拍视频、1套基于大数据的道路与轨道交通数据融合算法、1套宏中微观一体化的仿真模型算法体系、后厂村区域和西三环走廊典型场景的测试应用及1本《特大城市交通拥堵治理超级仿真技术研究2022年度报告》；</w:t>
      </w:r>
      <w:r>
        <w:rPr>
          <w:rFonts w:ascii="仿宋_GB2312" w:eastAsia="仿宋_GB2312" w:hAnsi="宋体" w:cs="宋体" w:hint="eastAsia"/>
          <w:bCs/>
          <w:color w:val="000000"/>
          <w:kern w:val="0"/>
          <w:sz w:val="32"/>
          <w:szCs w:val="32"/>
        </w:rPr>
        <w:lastRenderedPageBreak/>
        <w:t>完成了交通新技术研发，形成了出行需求调节算法1套、预约出行体系1套、1种场景下的预约出行方案等；开展了交通模型更新与维护</w:t>
      </w:r>
      <w:r>
        <w:rPr>
          <w:rFonts w:ascii="仿宋_GB2312" w:eastAsia="仿宋_GB2312" w:hAnsi="宋体" w:cs="宋体" w:hint="eastAsia"/>
          <w:color w:val="000000"/>
          <w:kern w:val="0"/>
          <w:sz w:val="32"/>
          <w:szCs w:val="32"/>
        </w:rPr>
        <w:t>工作，更新完成2022版交通模型系统。</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（6）轨道交通运营服务研究方面。</w:t>
      </w:r>
      <w:r>
        <w:rPr>
          <w:rFonts w:ascii="仿宋_GB2312" w:eastAsia="仿宋_GB2312" w:hAnsi="宋体" w:cs="宋体" w:hint="eastAsia"/>
          <w:color w:val="000000"/>
          <w:kern w:val="0"/>
          <w:sz w:val="32"/>
          <w:szCs w:val="32"/>
        </w:rPr>
        <w:t>开展了慢行交通品质提升方法及策略研究，梳理了5个国际大城市慢行系统发展策略，</w:t>
      </w:r>
      <w:proofErr w:type="gramStart"/>
      <w:r>
        <w:rPr>
          <w:rFonts w:ascii="仿宋_GB2312" w:eastAsia="仿宋_GB2312" w:hAnsi="宋体" w:cs="宋体" w:hint="eastAsia"/>
          <w:color w:val="000000"/>
          <w:kern w:val="0"/>
          <w:sz w:val="32"/>
          <w:szCs w:val="32"/>
        </w:rPr>
        <w:t>完成城六区</w:t>
      </w:r>
      <w:proofErr w:type="gramEnd"/>
      <w:r>
        <w:rPr>
          <w:rFonts w:ascii="仿宋_GB2312" w:eastAsia="仿宋_GB2312" w:hAnsi="宋体" w:cs="宋体" w:hint="eastAsia"/>
          <w:color w:val="000000"/>
          <w:kern w:val="0"/>
          <w:sz w:val="32"/>
          <w:szCs w:val="32"/>
        </w:rPr>
        <w:t>水路绿周边出行需求分析，提出了3条北京市交通发展对策建议。</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（7）节能减排方面。</w:t>
      </w:r>
      <w:r>
        <w:rPr>
          <w:rFonts w:ascii="仿宋_GB2312" w:eastAsia="仿宋_GB2312" w:hAnsi="宋体" w:cs="宋体" w:hint="eastAsia"/>
          <w:color w:val="000000"/>
          <w:kern w:val="0"/>
          <w:sz w:val="32"/>
          <w:szCs w:val="32"/>
        </w:rPr>
        <w:t>开展了交通领域污染物排放测试与评估工作，完成20辆次的典型</w:t>
      </w:r>
      <w:proofErr w:type="gramStart"/>
      <w:r>
        <w:rPr>
          <w:rFonts w:ascii="仿宋_GB2312" w:eastAsia="仿宋_GB2312" w:hAnsi="宋体" w:cs="宋体" w:hint="eastAsia"/>
          <w:color w:val="000000"/>
          <w:kern w:val="0"/>
          <w:sz w:val="32"/>
          <w:szCs w:val="32"/>
        </w:rPr>
        <w:t>车实际</w:t>
      </w:r>
      <w:proofErr w:type="gramEnd"/>
      <w:r>
        <w:rPr>
          <w:rFonts w:ascii="仿宋_GB2312" w:eastAsia="仿宋_GB2312" w:hAnsi="宋体" w:cs="宋体" w:hint="eastAsia"/>
          <w:color w:val="000000"/>
          <w:kern w:val="0"/>
          <w:sz w:val="32"/>
          <w:szCs w:val="32"/>
        </w:rPr>
        <w:t>道路尾气排放测试工作，形成了《基于实际道路排放2022年交通行业典型车辆排放测试评估报告》《路网动态排放模型精度研究报告》 《2022年北京市路网运行与排放年报》；开展了北京市交通运输环境监测网络建设试点工程运维，运维在线监测4个站点，形成1套《环境监测网络信息平台运行维护报告》；结合</w:t>
      </w:r>
      <w:proofErr w:type="gramStart"/>
      <w:r>
        <w:rPr>
          <w:rFonts w:ascii="仿宋_GB2312" w:eastAsia="仿宋_GB2312" w:hAnsi="宋体" w:cs="宋体" w:hint="eastAsia"/>
          <w:color w:val="000000"/>
          <w:kern w:val="0"/>
          <w:sz w:val="32"/>
          <w:szCs w:val="32"/>
        </w:rPr>
        <w:t>国家双碳</w:t>
      </w:r>
      <w:proofErr w:type="gramEnd"/>
      <w:r>
        <w:rPr>
          <w:rFonts w:ascii="仿宋_GB2312" w:eastAsia="仿宋_GB2312" w:hAnsi="宋体" w:cs="宋体" w:hint="eastAsia"/>
          <w:color w:val="000000"/>
          <w:kern w:val="0"/>
          <w:sz w:val="32"/>
          <w:szCs w:val="32"/>
        </w:rPr>
        <w:t>目标，以交通能源转型为重点，纯电动汽车和燃料电池汽车应用为主要方向，分析世界大城市绿色交通发展热点问题的措施、方案、效果和经验，完成全球大城市绿色交通年度动态追踪与北京对比分析，形成《全球大城市绿色交通年度动态追踪与北京对比分析相关研究报告》1套。</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（8）保障部门日常运转方面。</w:t>
      </w:r>
      <w:r>
        <w:rPr>
          <w:rFonts w:ascii="仿宋_GB2312" w:eastAsia="仿宋_GB2312" w:hAnsi="宋体" w:cs="宋体" w:hint="eastAsia"/>
          <w:color w:val="000000"/>
          <w:kern w:val="0"/>
          <w:sz w:val="32"/>
          <w:szCs w:val="32"/>
        </w:rPr>
        <w:t>完成了2021年部门自评和重点项目评价、2022年度全过程预算绩效运行监控等工作，并形成相关成果报告；完成2023年项目绩效目标审核并形</w:t>
      </w:r>
      <w:r>
        <w:rPr>
          <w:rFonts w:ascii="仿宋_GB2312" w:eastAsia="仿宋_GB2312" w:hAnsi="宋体" w:cs="宋体" w:hint="eastAsia"/>
          <w:color w:val="000000"/>
          <w:kern w:val="0"/>
          <w:sz w:val="32"/>
          <w:szCs w:val="32"/>
        </w:rPr>
        <w:lastRenderedPageBreak/>
        <w:t>成审核意见、预算申报培训等咨询工作；按计划租赁</w:t>
      </w:r>
      <w:r w:rsidR="0067145E">
        <w:rPr>
          <w:rFonts w:ascii="仿宋_GB2312" w:eastAsia="仿宋_GB2312" w:hAnsi="宋体" w:cs="宋体" w:hint="eastAsia"/>
          <w:color w:val="000000"/>
          <w:kern w:val="0"/>
          <w:sz w:val="32"/>
          <w:szCs w:val="32"/>
        </w:rPr>
        <w:t>办公用房</w:t>
      </w:r>
      <w:r>
        <w:rPr>
          <w:rFonts w:ascii="仿宋_GB2312" w:eastAsia="仿宋_GB2312" w:hAnsi="宋体" w:cs="宋体" w:hint="eastAsia"/>
          <w:color w:val="000000"/>
          <w:kern w:val="0"/>
          <w:sz w:val="32"/>
          <w:szCs w:val="32"/>
        </w:rPr>
        <w:t>，支付相关办公用房租赁、物业管理费用；完成支付后勤保障费用，院课题报告打印、印刷任务等印刷费用等工作；完成支付人员工资、社保、个人和家庭补助以及交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院日常办公用品费、邮电费、</w:t>
      </w:r>
      <w:proofErr w:type="gramStart"/>
      <w:r>
        <w:rPr>
          <w:rFonts w:ascii="仿宋_GB2312" w:eastAsia="仿宋_GB2312" w:hAnsi="宋体" w:cs="宋体" w:hint="eastAsia"/>
          <w:color w:val="000000"/>
          <w:kern w:val="0"/>
          <w:sz w:val="32"/>
          <w:szCs w:val="32"/>
        </w:rPr>
        <w:t>物业费</w:t>
      </w:r>
      <w:proofErr w:type="gramEnd"/>
      <w:r>
        <w:rPr>
          <w:rFonts w:ascii="仿宋_GB2312" w:eastAsia="仿宋_GB2312" w:hAnsi="宋体" w:cs="宋体" w:hint="eastAsia"/>
          <w:color w:val="000000"/>
          <w:kern w:val="0"/>
          <w:sz w:val="32"/>
          <w:szCs w:val="32"/>
        </w:rPr>
        <w:t>等基本支出。</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（9）其他工作方面。</w:t>
      </w:r>
      <w:r>
        <w:rPr>
          <w:rFonts w:ascii="仿宋_GB2312" w:eastAsia="仿宋_GB2312" w:hAnsi="宋体" w:cs="宋体" w:hint="eastAsia"/>
          <w:color w:val="000000"/>
          <w:kern w:val="0"/>
          <w:sz w:val="32"/>
          <w:szCs w:val="32"/>
        </w:rPr>
        <w:t>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在开展财政资金支持的相关工作的基础上，利用单位事业收入和其他收入等资金，开展并完成了交通节能减排检测评估实验室与数据挖掘，轨道交通运营服务品质提升策略与方案研究，交通需求特征与运行规划研究，交通数据收集与分析，智能交通技术开发，博士后工作站运行费等工作。</w:t>
      </w:r>
    </w:p>
    <w:p w:rsidR="00ED315D" w:rsidRDefault="00EE6A88">
      <w:pPr>
        <w:pStyle w:val="af"/>
        <w:adjustRightInd w:val="0"/>
        <w:snapToGrid w:val="0"/>
        <w:spacing w:line="360" w:lineRule="auto"/>
        <w:ind w:firstLine="643"/>
        <w:rPr>
          <w:rFonts w:ascii="仿宋_GB2312" w:eastAsia="仿宋_GB2312" w:hAnsi="宋体" w:cs="宋体"/>
          <w:b/>
          <w:bCs/>
          <w:color w:val="000000"/>
          <w:kern w:val="0"/>
          <w:sz w:val="32"/>
          <w:szCs w:val="32"/>
        </w:rPr>
      </w:pPr>
      <w:r>
        <w:rPr>
          <w:rFonts w:ascii="仿宋_GB2312" w:eastAsia="仿宋_GB2312" w:hAnsi="宋体" w:cs="宋体" w:hint="eastAsia"/>
          <w:b/>
          <w:color w:val="000000"/>
          <w:kern w:val="0"/>
          <w:sz w:val="32"/>
          <w:szCs w:val="32"/>
        </w:rPr>
        <w:t>整体上，</w:t>
      </w:r>
      <w:r>
        <w:rPr>
          <w:rFonts w:ascii="仿宋_GB2312" w:eastAsia="仿宋_GB2312" w:hAnsi="宋体" w:cs="宋体" w:hint="eastAsia"/>
          <w:color w:val="000000"/>
          <w:kern w:val="0"/>
          <w:sz w:val="32"/>
          <w:szCs w:val="32"/>
        </w:rPr>
        <w:t>项目产出数量完成情况较好，但也存在个别工作内容未能达计划值的情况，如，博士后工作站运行费项目中计划调研10天，实际开展调研9天；认证及其他费用项目中计划开展3次中国城市交通发展论坛</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 xml:space="preserve">实际开展了1次中国城市交通发展论坛，均由于疫情原因未能按照计划完成。 </w:t>
      </w:r>
    </w:p>
    <w:p w:rsidR="00ED315D" w:rsidRDefault="00EE6A88">
      <w:pPr>
        <w:pStyle w:val="af"/>
        <w:adjustRightInd w:val="0"/>
        <w:snapToGrid w:val="0"/>
        <w:spacing w:line="360" w:lineRule="auto"/>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r>
        <w:rPr>
          <w:rFonts w:ascii="仿宋_GB2312" w:eastAsia="仿宋_GB2312" w:hAnsi="宋体" w:cs="宋体"/>
          <w:color w:val="000000"/>
          <w:kern w:val="0"/>
          <w:sz w:val="32"/>
          <w:szCs w:val="32"/>
        </w:rPr>
        <w:tab/>
      </w:r>
    </w:p>
    <w:p w:rsidR="00ED315D" w:rsidRDefault="00EE6A88">
      <w:pPr>
        <w:suppressAutoHyphens/>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int="eastAsia"/>
          <w:color w:val="000000"/>
          <w:sz w:val="32"/>
          <w:szCs w:val="32"/>
        </w:rPr>
        <w:t>2022年，交</w:t>
      </w:r>
      <w:proofErr w:type="gramStart"/>
      <w:r>
        <w:rPr>
          <w:rFonts w:ascii="仿宋_GB2312" w:eastAsia="仿宋_GB2312" w:hint="eastAsia"/>
          <w:color w:val="000000"/>
          <w:sz w:val="32"/>
          <w:szCs w:val="32"/>
        </w:rPr>
        <w:t>研</w:t>
      </w:r>
      <w:proofErr w:type="gramEnd"/>
      <w:r>
        <w:rPr>
          <w:rFonts w:ascii="仿宋_GB2312" w:eastAsia="仿宋_GB2312" w:hint="eastAsia"/>
          <w:color w:val="000000"/>
          <w:sz w:val="32"/>
          <w:szCs w:val="32"/>
        </w:rPr>
        <w:t>院</w:t>
      </w:r>
      <w:r>
        <w:rPr>
          <w:rFonts w:ascii="仿宋_GB2312" w:eastAsia="仿宋_GB2312" w:hAnsi="宋体" w:cs="宋体" w:hint="eastAsia"/>
          <w:color w:val="000000"/>
          <w:kern w:val="0"/>
          <w:sz w:val="32"/>
          <w:szCs w:val="32"/>
        </w:rPr>
        <w:t>在项目执行过程中，能够采取相关控制措施确保相关工作完成质量</w:t>
      </w:r>
      <w:r>
        <w:rPr>
          <w:rFonts w:ascii="仿宋_GB2312" w:eastAsia="仿宋_GB2312" w:hint="eastAsia"/>
          <w:color w:val="000000"/>
          <w:sz w:val="32"/>
          <w:szCs w:val="32"/>
        </w:rPr>
        <w:t>。如，工作执行过程中，按照《项目内部评审控制程序》组织对相关工作产出成果进行内部审核，形成内部评审意见，</w:t>
      </w:r>
      <w:r w:rsidR="00847B83">
        <w:rPr>
          <w:rFonts w:ascii="仿宋_GB2312" w:eastAsia="仿宋_GB2312" w:hint="eastAsia"/>
          <w:color w:val="000000"/>
          <w:sz w:val="32"/>
          <w:szCs w:val="32"/>
        </w:rPr>
        <w:t>组织专家验收等</w:t>
      </w:r>
      <w:r>
        <w:rPr>
          <w:rFonts w:ascii="仿宋_GB2312" w:eastAsia="仿宋_GB2312" w:hint="eastAsia"/>
          <w:color w:val="000000"/>
          <w:sz w:val="32"/>
          <w:szCs w:val="32"/>
        </w:rPr>
        <w:t>确保相关产出</w:t>
      </w:r>
      <w:r w:rsidR="00847B83">
        <w:rPr>
          <w:rFonts w:ascii="仿宋_GB2312" w:eastAsia="仿宋_GB2312" w:hint="eastAsia"/>
          <w:color w:val="000000"/>
          <w:sz w:val="32"/>
          <w:szCs w:val="32"/>
        </w:rPr>
        <w:t>质量得到保障。</w:t>
      </w:r>
    </w:p>
    <w:p w:rsidR="00ED315D" w:rsidRDefault="00ED315D" w:rsidP="005E68D4">
      <w:pPr>
        <w:pStyle w:val="af"/>
        <w:adjustRightInd w:val="0"/>
        <w:snapToGrid w:val="0"/>
        <w:spacing w:line="360" w:lineRule="auto"/>
        <w:ind w:firstLine="640"/>
        <w:rPr>
          <w:rFonts w:ascii="仿宋_GB2312" w:eastAsia="仿宋_GB2312" w:cs="宋体"/>
          <w:kern w:val="0"/>
          <w:sz w:val="32"/>
          <w:szCs w:val="32"/>
        </w:rPr>
      </w:pPr>
    </w:p>
    <w:p w:rsidR="00ED315D" w:rsidRDefault="00EE6A88">
      <w:pPr>
        <w:pStyle w:val="af"/>
        <w:adjustRightInd w:val="0"/>
        <w:snapToGrid w:val="0"/>
        <w:spacing w:line="360" w:lineRule="auto"/>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rsidR="00847B83" w:rsidRPr="00847B83" w:rsidRDefault="00847B83" w:rsidP="00847B83">
      <w:pPr>
        <w:pStyle w:val="af0"/>
        <w:shd w:val="clear" w:color="auto" w:fill="FFFFFF"/>
        <w:spacing w:before="0" w:beforeAutospacing="0" w:after="335" w:afterAutospacing="0"/>
        <w:ind w:firstLineChars="200" w:firstLine="640"/>
        <w:rPr>
          <w:rFonts w:ascii="仿宋_GB2312" w:eastAsia="仿宋_GB2312" w:hAnsi="Times New Roman" w:cs="Times New Roman"/>
          <w:color w:val="000000"/>
          <w:kern w:val="2"/>
          <w:sz w:val="32"/>
          <w:szCs w:val="32"/>
        </w:rPr>
      </w:pPr>
      <w:r>
        <w:rPr>
          <w:rFonts w:ascii="仿宋_GB2312" w:eastAsia="仿宋_GB2312" w:hAnsi="Times New Roman" w:cs="Times New Roman" w:hint="eastAsia"/>
          <w:color w:val="000000"/>
          <w:kern w:val="2"/>
          <w:sz w:val="32"/>
          <w:szCs w:val="32"/>
        </w:rPr>
        <w:t>交</w:t>
      </w:r>
      <w:proofErr w:type="gramStart"/>
      <w:r>
        <w:rPr>
          <w:rFonts w:ascii="仿宋_GB2312" w:eastAsia="仿宋_GB2312" w:hAnsi="Times New Roman" w:cs="Times New Roman" w:hint="eastAsia"/>
          <w:color w:val="000000"/>
          <w:kern w:val="2"/>
          <w:sz w:val="32"/>
          <w:szCs w:val="32"/>
        </w:rPr>
        <w:t>研</w:t>
      </w:r>
      <w:proofErr w:type="gramEnd"/>
      <w:r>
        <w:rPr>
          <w:rFonts w:ascii="仿宋_GB2312" w:eastAsia="仿宋_GB2312" w:hAnsi="Times New Roman" w:cs="Times New Roman" w:hint="eastAsia"/>
          <w:color w:val="000000"/>
          <w:kern w:val="2"/>
          <w:sz w:val="32"/>
          <w:szCs w:val="32"/>
        </w:rPr>
        <w:t>院</w:t>
      </w:r>
      <w:r w:rsidRPr="00847B83">
        <w:rPr>
          <w:rFonts w:ascii="仿宋_GB2312" w:eastAsia="仿宋_GB2312" w:hAnsi="Times New Roman" w:cs="Times New Roman" w:hint="eastAsia"/>
          <w:color w:val="000000"/>
          <w:kern w:val="2"/>
          <w:sz w:val="32"/>
          <w:szCs w:val="32"/>
        </w:rPr>
        <w:t>按照财政支出进度要求，结合单位实际情况，</w:t>
      </w:r>
      <w:r>
        <w:rPr>
          <w:rFonts w:ascii="仿宋_GB2312" w:eastAsia="仿宋_GB2312" w:hAnsi="Times New Roman" w:cs="Times New Roman" w:hint="eastAsia"/>
          <w:color w:val="000000"/>
          <w:kern w:val="2"/>
          <w:sz w:val="32"/>
          <w:szCs w:val="32"/>
        </w:rPr>
        <w:t>按照工作计划进度进行，</w:t>
      </w:r>
      <w:r w:rsidRPr="00847B83">
        <w:rPr>
          <w:rFonts w:ascii="仿宋_GB2312" w:eastAsia="仿宋_GB2312" w:hAnsi="Times New Roman" w:cs="Times New Roman" w:hint="eastAsia"/>
          <w:color w:val="000000"/>
          <w:kern w:val="2"/>
          <w:sz w:val="32"/>
          <w:szCs w:val="32"/>
        </w:rPr>
        <w:t>于规定时间内完成项目经费下达年度工作任务，</w:t>
      </w:r>
      <w:r>
        <w:rPr>
          <w:rFonts w:ascii="仿宋_GB2312" w:eastAsia="仿宋_GB2312" w:hAnsi="Times New Roman" w:cs="Times New Roman" w:hint="eastAsia"/>
          <w:color w:val="000000"/>
          <w:kern w:val="2"/>
          <w:sz w:val="32"/>
          <w:szCs w:val="32"/>
        </w:rPr>
        <w:t>在年末完成验收。</w:t>
      </w:r>
    </w:p>
    <w:p w:rsidR="00ED315D" w:rsidRDefault="00EE6A88">
      <w:pPr>
        <w:pStyle w:val="af"/>
        <w:adjustRightInd w:val="0"/>
        <w:snapToGrid w:val="0"/>
        <w:spacing w:line="360" w:lineRule="auto"/>
        <w:ind w:firstLine="64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w:t>
      </w:r>
      <w:r>
        <w:rPr>
          <w:rFonts w:ascii="仿宋_GB2312" w:eastAsia="仿宋_GB2312" w:hAnsi="宋体" w:cs="宋体" w:hint="eastAsia"/>
          <w:color w:val="000000"/>
          <w:kern w:val="0"/>
          <w:sz w:val="32"/>
          <w:szCs w:val="32"/>
        </w:rPr>
        <w:t>产出</w:t>
      </w:r>
      <w:r>
        <w:rPr>
          <w:rFonts w:ascii="仿宋_GB2312" w:eastAsia="仿宋_GB2312" w:hAnsi="宋体" w:cs="宋体"/>
          <w:color w:val="000000"/>
          <w:kern w:val="0"/>
          <w:sz w:val="32"/>
          <w:szCs w:val="32"/>
        </w:rPr>
        <w:t>成本</w:t>
      </w:r>
    </w:p>
    <w:p w:rsidR="00ED315D" w:rsidRPr="0067145E" w:rsidRDefault="0067145E" w:rsidP="0067145E">
      <w:pPr>
        <w:adjustRightInd w:val="0"/>
        <w:snapToGrid w:val="0"/>
        <w:spacing w:line="360" w:lineRule="auto"/>
        <w:ind w:firstLineChars="200" w:firstLine="640"/>
        <w:rPr>
          <w:rFonts w:ascii="仿宋_GB2312" w:eastAsia="仿宋_GB2312"/>
          <w:sz w:val="32"/>
          <w:szCs w:val="32"/>
        </w:rPr>
      </w:pPr>
      <w:r>
        <w:rPr>
          <w:rFonts w:ascii="仿宋_GB2312" w:eastAsia="仿宋_GB2312" w:hint="eastAsia"/>
          <w:sz w:val="32"/>
          <w:szCs w:val="32"/>
        </w:rPr>
        <w:t>交</w:t>
      </w:r>
      <w:proofErr w:type="gramStart"/>
      <w:r>
        <w:rPr>
          <w:rFonts w:ascii="仿宋_GB2312" w:eastAsia="仿宋_GB2312" w:hint="eastAsia"/>
          <w:sz w:val="32"/>
          <w:szCs w:val="32"/>
        </w:rPr>
        <w:t>研</w:t>
      </w:r>
      <w:proofErr w:type="gramEnd"/>
      <w:r>
        <w:rPr>
          <w:rFonts w:ascii="仿宋_GB2312" w:eastAsia="仿宋_GB2312" w:hint="eastAsia"/>
          <w:sz w:val="32"/>
          <w:szCs w:val="32"/>
        </w:rPr>
        <w:t>院</w:t>
      </w:r>
      <w:r w:rsidRPr="0067145E">
        <w:rPr>
          <w:rFonts w:ascii="仿宋_GB2312" w:eastAsia="仿宋_GB2312" w:hint="eastAsia"/>
          <w:sz w:val="32"/>
          <w:szCs w:val="32"/>
        </w:rPr>
        <w:t>按照年初部门预算批复的内容进行列支，优化支出结构，严格控制“三公”经费及重点科目的支出，在预算执行</w:t>
      </w:r>
      <w:r>
        <w:rPr>
          <w:rFonts w:ascii="仿宋_GB2312" w:eastAsia="仿宋_GB2312" w:hint="eastAsia"/>
          <w:sz w:val="32"/>
          <w:szCs w:val="32"/>
        </w:rPr>
        <w:t>过程中采取了公开招投标、市场询价、比价等成本控制措施。</w:t>
      </w:r>
      <w:r w:rsidDel="0067145E">
        <w:rPr>
          <w:rFonts w:ascii="仿宋_GB2312" w:eastAsia="仿宋_GB2312" w:hint="eastAsia"/>
          <w:sz w:val="32"/>
          <w:szCs w:val="32"/>
        </w:rPr>
        <w:t xml:space="preserve"> </w:t>
      </w:r>
      <w:r w:rsidR="00EE6A88">
        <w:rPr>
          <w:rFonts w:ascii="仿宋_GB2312" w:eastAsia="仿宋_GB2312" w:hint="eastAsia"/>
          <w:sz w:val="32"/>
          <w:szCs w:val="32"/>
        </w:rPr>
        <w:t>整体上，交</w:t>
      </w:r>
      <w:proofErr w:type="gramStart"/>
      <w:r w:rsidR="00EE6A88">
        <w:rPr>
          <w:rFonts w:ascii="仿宋_GB2312" w:eastAsia="仿宋_GB2312" w:hint="eastAsia"/>
          <w:sz w:val="32"/>
          <w:szCs w:val="32"/>
        </w:rPr>
        <w:t>研院各项</w:t>
      </w:r>
      <w:proofErr w:type="gramEnd"/>
      <w:r w:rsidR="00EE6A88">
        <w:rPr>
          <w:rFonts w:ascii="仿宋_GB2312" w:eastAsia="仿宋_GB2312" w:hint="eastAsia"/>
          <w:sz w:val="32"/>
          <w:szCs w:val="32"/>
        </w:rPr>
        <w:t>工作费用支出均控制在年度预算内，成本控制情况较好。</w:t>
      </w:r>
    </w:p>
    <w:p w:rsidR="00ED315D" w:rsidRDefault="00EE6A88">
      <w:pPr>
        <w:adjustRightInd w:val="0"/>
        <w:snapToGrid w:val="0"/>
        <w:spacing w:line="360" w:lineRule="auto"/>
        <w:ind w:firstLineChars="200" w:firstLine="640"/>
        <w:outlineLvl w:val="1"/>
        <w:rPr>
          <w:rFonts w:ascii="楷体_GB2312" w:eastAsia="楷体_GB2312"/>
          <w:sz w:val="32"/>
          <w:szCs w:val="32"/>
          <w:highlight w:val="yellow"/>
        </w:rPr>
      </w:pPr>
      <w:r>
        <w:rPr>
          <w:rFonts w:ascii="楷体_GB2312" w:eastAsia="楷体_GB2312" w:hint="eastAsia"/>
          <w:sz w:val="32"/>
          <w:szCs w:val="32"/>
        </w:rPr>
        <w:t>（二）效果</w:t>
      </w:r>
      <w:r>
        <w:rPr>
          <w:rFonts w:ascii="楷体_GB2312" w:eastAsia="楷体_GB2312"/>
          <w:sz w:val="32"/>
          <w:szCs w:val="32"/>
        </w:rPr>
        <w:t>实现情况分析</w:t>
      </w:r>
    </w:p>
    <w:p w:rsidR="00ED315D" w:rsidRDefault="00EE6A88">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2年度，交</w:t>
      </w:r>
      <w:proofErr w:type="gramStart"/>
      <w:r>
        <w:rPr>
          <w:rFonts w:ascii="仿宋_GB2312" w:eastAsia="仿宋_GB2312" w:hAnsi="仿宋_GB2312" w:cs="仿宋_GB2312" w:hint="eastAsia"/>
          <w:sz w:val="32"/>
          <w:szCs w:val="32"/>
        </w:rPr>
        <w:t>研</w:t>
      </w:r>
      <w:proofErr w:type="gramEnd"/>
      <w:r>
        <w:rPr>
          <w:rFonts w:ascii="仿宋_GB2312" w:eastAsia="仿宋_GB2312" w:hAnsi="仿宋_GB2312" w:cs="仿宋_GB2312" w:hint="eastAsia"/>
          <w:sz w:val="32"/>
          <w:szCs w:val="32"/>
        </w:rPr>
        <w:t>院各部门围绕着具体部门职能及年初设定绩效目标开展工作，相关工作实施效益较为显著，主要体现在：</w:t>
      </w:r>
    </w:p>
    <w:p w:rsidR="00ED315D" w:rsidRDefault="00EE6A88">
      <w:pPr>
        <w:adjustRightInd w:val="0"/>
        <w:snapToGrid w:val="0"/>
        <w:spacing w:line="360" w:lineRule="auto"/>
        <w:ind w:firstLineChars="200" w:firstLine="640"/>
        <w:outlineLvl w:val="2"/>
        <w:rPr>
          <w:rFonts w:ascii="仿宋_GB2312" w:eastAsia="仿宋_GB2312" w:hAnsi="仿宋_GB2312" w:cs="仿宋_GB2312"/>
          <w:sz w:val="32"/>
          <w:szCs w:val="32"/>
        </w:rPr>
      </w:pPr>
      <w:r>
        <w:rPr>
          <w:rFonts w:ascii="仿宋_GB2312" w:eastAsia="仿宋_GB2312" w:hAnsi="仿宋_GB2312" w:cs="仿宋_GB2312" w:hint="eastAsia"/>
          <w:sz w:val="32"/>
          <w:szCs w:val="32"/>
        </w:rPr>
        <w:t>1.社会效益</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（1）交通缓堵措施研究方面。</w:t>
      </w:r>
      <w:r>
        <w:rPr>
          <w:rFonts w:ascii="仿宋_GB2312" w:eastAsia="仿宋_GB2312" w:hAnsi="宋体" w:cs="宋体" w:hint="eastAsia"/>
          <w:color w:val="000000"/>
          <w:kern w:val="0"/>
          <w:sz w:val="32"/>
          <w:szCs w:val="32"/>
        </w:rPr>
        <w:t>结合</w:t>
      </w:r>
      <w:proofErr w:type="gramStart"/>
      <w:r>
        <w:rPr>
          <w:rFonts w:ascii="仿宋_GB2312" w:eastAsia="仿宋_GB2312" w:hAnsi="宋体" w:cs="宋体" w:hint="eastAsia"/>
          <w:color w:val="000000"/>
          <w:kern w:val="0"/>
          <w:sz w:val="32"/>
          <w:szCs w:val="32"/>
        </w:rPr>
        <w:t>疏整促</w:t>
      </w:r>
      <w:proofErr w:type="gramEnd"/>
      <w:r>
        <w:rPr>
          <w:rFonts w:ascii="仿宋_GB2312" w:eastAsia="仿宋_GB2312" w:hAnsi="宋体" w:cs="宋体" w:hint="eastAsia"/>
          <w:color w:val="000000"/>
          <w:kern w:val="0"/>
          <w:sz w:val="32"/>
          <w:szCs w:val="32"/>
        </w:rPr>
        <w:t>、轨道线网新增等外部环境变化，对公交线网的布局进行动态优化调整，并对调整效果进行评估，有效提升了公交线网与出行需求匹配度；针对交通热点问题、交通系统产生问题的热点区域展开实地调研，并有针对性的提出了相应解决方法及改善策略，有效促进交通热点问题的解决。</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lastRenderedPageBreak/>
        <w:t>（2）交通战略研究方面。</w:t>
      </w:r>
      <w:r>
        <w:rPr>
          <w:rFonts w:ascii="仿宋_GB2312" w:eastAsia="仿宋_GB2312" w:hAnsi="宋体" w:cs="宋体" w:hint="eastAsia"/>
          <w:color w:val="000000"/>
          <w:kern w:val="0"/>
          <w:sz w:val="32"/>
          <w:szCs w:val="32"/>
        </w:rPr>
        <w:t>通过重点研究城市交通枢纽与社会经济融合发展、数字经济与城市交通转型发展的相互作用及影响、市场化改革支撑交通发展“降本增效”实施路径、以降低交通负外部成本为导向的需求管理政策设计，增强城市综合竞争力，提高广大市民生活质量；通过城市交通发展战略、交通政策、交通与城市的发展关系等方面的研究和编制工作，为政府交通战略决策提供咨询服务。</w:t>
      </w:r>
    </w:p>
    <w:p w:rsidR="00ED315D" w:rsidRDefault="00EE6A88">
      <w:pPr>
        <w:pStyle w:val="af"/>
        <w:adjustRightInd w:val="0"/>
        <w:snapToGrid w:val="0"/>
        <w:spacing w:line="360" w:lineRule="auto"/>
        <w:ind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（3）智能交通建设方面。</w:t>
      </w:r>
      <w:r>
        <w:rPr>
          <w:rFonts w:ascii="仿宋_GB2312" w:eastAsia="仿宋_GB2312" w:hAnsi="宋体" w:cs="宋体" w:hint="eastAsia"/>
          <w:color w:val="000000"/>
          <w:kern w:val="0"/>
          <w:sz w:val="32"/>
          <w:szCs w:val="32"/>
        </w:rPr>
        <w:t>开展多模式出行特征与交通运行监测评估关键技术研究，有效提升交通出行综合分析评价决策支持能力，研发多模式出行数据关联分析模块，为政府部门决策、交通综合治理提供支撑，</w:t>
      </w:r>
      <w:proofErr w:type="gramStart"/>
      <w:r>
        <w:rPr>
          <w:rFonts w:ascii="仿宋_GB2312" w:eastAsia="仿宋_GB2312" w:hAnsi="宋体" w:cs="宋体" w:hint="eastAsia"/>
          <w:color w:val="000000"/>
          <w:kern w:val="0"/>
          <w:sz w:val="32"/>
          <w:szCs w:val="32"/>
        </w:rPr>
        <w:t>提升市</w:t>
      </w:r>
      <w:proofErr w:type="gramEnd"/>
      <w:r>
        <w:rPr>
          <w:rFonts w:ascii="仿宋_GB2312" w:eastAsia="仿宋_GB2312" w:hAnsi="宋体" w:cs="宋体" w:hint="eastAsia"/>
          <w:color w:val="000000"/>
          <w:kern w:val="0"/>
          <w:sz w:val="32"/>
          <w:szCs w:val="32"/>
        </w:rPr>
        <w:t>交通服务能力和效率；对交通运行监测与智能化分析平台升级改造项目进行日常维护和功能完善，保障日常工作正常运转，有效支撑交通运行监测与</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判。</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（4）交通综合调查方面。</w:t>
      </w:r>
      <w:r>
        <w:rPr>
          <w:rFonts w:ascii="仿宋_GB2312" w:eastAsia="仿宋_GB2312" w:hAnsi="宋体" w:cs="宋体" w:hint="eastAsia"/>
          <w:bCs/>
          <w:color w:val="000000"/>
          <w:kern w:val="0"/>
          <w:sz w:val="32"/>
          <w:szCs w:val="32"/>
        </w:rPr>
        <w:t>交通综合调查对于</w:t>
      </w:r>
      <w:r>
        <w:rPr>
          <w:rFonts w:ascii="仿宋_GB2312" w:eastAsia="仿宋_GB2312" w:hAnsi="宋体" w:cs="宋体" w:hint="eastAsia"/>
          <w:color w:val="000000"/>
          <w:kern w:val="0"/>
          <w:sz w:val="32"/>
          <w:szCs w:val="32"/>
        </w:rPr>
        <w:t>进一步探索交通调查新技术、居民出行特征等方面的数据，为掌握交通发展规律、交通政策的制定、交通规划的编制、更新和标定交通模型等提供了有效数据基础，且为社会公众了解北京交通提供了渠道。</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（5）交通技术研发方面。</w:t>
      </w:r>
      <w:r>
        <w:rPr>
          <w:rFonts w:ascii="仿宋_GB2312" w:eastAsia="仿宋_GB2312" w:hAnsi="宋体" w:cs="宋体" w:hint="eastAsia"/>
          <w:color w:val="000000"/>
          <w:kern w:val="0"/>
          <w:sz w:val="32"/>
          <w:szCs w:val="32"/>
        </w:rPr>
        <w:t>特大城市交通拥堵治理超级仿真技术研究，建立了多层次交通仿真算法和平台，完成西三环走廊和后厂村区域等典型场景的应用测试，为交通研究</w:t>
      </w:r>
      <w:r>
        <w:rPr>
          <w:rFonts w:ascii="仿宋_GB2312" w:eastAsia="仿宋_GB2312" w:hAnsi="宋体" w:cs="宋体" w:hint="eastAsia"/>
          <w:color w:val="000000"/>
          <w:kern w:val="0"/>
          <w:sz w:val="32"/>
          <w:szCs w:val="32"/>
        </w:rPr>
        <w:lastRenderedPageBreak/>
        <w:t>与决策提供测试和评估工具，并为首都交通发展提供了支撑。通过交通模型更新维护，充分掌握全市交通需求总量和特征，全市及六环内的出行总量、出行结构等指标，建立健全交通基础数据库，为交通部</w:t>
      </w:r>
      <w:proofErr w:type="gramStart"/>
      <w:r>
        <w:rPr>
          <w:rFonts w:ascii="仿宋_GB2312" w:eastAsia="仿宋_GB2312" w:hAnsi="宋体" w:cs="宋体" w:hint="eastAsia"/>
          <w:color w:val="000000"/>
          <w:kern w:val="0"/>
          <w:sz w:val="32"/>
          <w:szCs w:val="32"/>
        </w:rPr>
        <w:t>门决策</w:t>
      </w:r>
      <w:proofErr w:type="gramEnd"/>
      <w:r>
        <w:rPr>
          <w:rFonts w:ascii="仿宋_GB2312" w:eastAsia="仿宋_GB2312" w:hAnsi="宋体" w:cs="宋体" w:hint="eastAsia"/>
          <w:color w:val="000000"/>
          <w:kern w:val="0"/>
          <w:sz w:val="32"/>
          <w:szCs w:val="32"/>
        </w:rPr>
        <w:t>提供定量化测试平台，为市交通提供科学依据；</w:t>
      </w:r>
      <w:r>
        <w:rPr>
          <w:rFonts w:ascii="仿宋_GB2312" w:eastAsia="仿宋_GB2312" w:hAnsi="宋体" w:cs="宋体" w:hint="eastAsia"/>
          <w:bCs/>
          <w:color w:val="000000"/>
          <w:kern w:val="0"/>
          <w:sz w:val="32"/>
          <w:szCs w:val="32"/>
        </w:rPr>
        <w:t>在跟踪国内外前沿技术和交通管理模式的基础上，</w:t>
      </w:r>
      <w:proofErr w:type="gramStart"/>
      <w:r>
        <w:rPr>
          <w:rFonts w:ascii="仿宋_GB2312" w:eastAsia="仿宋_GB2312" w:hAnsi="宋体" w:cs="宋体" w:hint="eastAsia"/>
          <w:bCs/>
          <w:color w:val="000000"/>
          <w:kern w:val="0"/>
          <w:sz w:val="32"/>
          <w:szCs w:val="32"/>
        </w:rPr>
        <w:t>研</w:t>
      </w:r>
      <w:proofErr w:type="gramEnd"/>
      <w:r>
        <w:rPr>
          <w:rFonts w:ascii="仿宋_GB2312" w:eastAsia="仿宋_GB2312" w:hAnsi="宋体" w:cs="宋体" w:hint="eastAsia"/>
          <w:bCs/>
          <w:color w:val="000000"/>
          <w:kern w:val="0"/>
          <w:sz w:val="32"/>
          <w:szCs w:val="32"/>
        </w:rPr>
        <w:t>判未来交通发展特征及趋势，围绕以预约为代表的</w:t>
      </w:r>
      <w:proofErr w:type="gramStart"/>
      <w:r>
        <w:rPr>
          <w:rFonts w:ascii="仿宋_GB2312" w:eastAsia="仿宋_GB2312" w:hAnsi="宋体" w:cs="宋体" w:hint="eastAsia"/>
          <w:bCs/>
          <w:color w:val="000000"/>
          <w:kern w:val="0"/>
          <w:sz w:val="32"/>
          <w:szCs w:val="32"/>
        </w:rPr>
        <w:t>新型交通</w:t>
      </w:r>
      <w:proofErr w:type="gramEnd"/>
      <w:r>
        <w:rPr>
          <w:rFonts w:ascii="仿宋_GB2312" w:eastAsia="仿宋_GB2312" w:hAnsi="宋体" w:cs="宋体" w:hint="eastAsia"/>
          <w:bCs/>
          <w:color w:val="000000"/>
          <w:kern w:val="0"/>
          <w:sz w:val="32"/>
          <w:szCs w:val="32"/>
        </w:rPr>
        <w:t>组织和服务模式，研究出行时空调节核心技术、预约出行服务体系、居民出行行为特征及干预方法，为缓解由于供需时空分布失衡导致的高</w:t>
      </w:r>
      <w:proofErr w:type="gramStart"/>
      <w:r>
        <w:rPr>
          <w:rFonts w:ascii="仿宋_GB2312" w:eastAsia="仿宋_GB2312" w:hAnsi="宋体" w:cs="宋体" w:hint="eastAsia"/>
          <w:bCs/>
          <w:color w:val="000000"/>
          <w:kern w:val="0"/>
          <w:sz w:val="32"/>
          <w:szCs w:val="32"/>
        </w:rPr>
        <w:t>峰拥堵问题</w:t>
      </w:r>
      <w:proofErr w:type="gramEnd"/>
      <w:r>
        <w:rPr>
          <w:rFonts w:ascii="仿宋_GB2312" w:eastAsia="仿宋_GB2312" w:hAnsi="宋体" w:cs="宋体" w:hint="eastAsia"/>
          <w:bCs/>
          <w:color w:val="000000"/>
          <w:kern w:val="0"/>
          <w:sz w:val="32"/>
          <w:szCs w:val="32"/>
        </w:rPr>
        <w:t>探索可行方案</w:t>
      </w:r>
      <w:r>
        <w:rPr>
          <w:rFonts w:ascii="仿宋_GB2312" w:eastAsia="仿宋_GB2312" w:hAnsi="宋体" w:cs="宋体" w:hint="eastAsia"/>
          <w:color w:val="000000"/>
          <w:kern w:val="0"/>
          <w:sz w:val="32"/>
          <w:szCs w:val="32"/>
        </w:rPr>
        <w:t>。</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（6）轨道交通运营服务研究。</w:t>
      </w:r>
      <w:r>
        <w:rPr>
          <w:rFonts w:ascii="仿宋_GB2312" w:eastAsia="仿宋_GB2312" w:hAnsi="宋体" w:cs="宋体" w:hint="eastAsia"/>
          <w:color w:val="000000"/>
          <w:kern w:val="0"/>
          <w:sz w:val="32"/>
          <w:szCs w:val="32"/>
        </w:rPr>
        <w:t>相关研究成果为相关部门决策提供了技术支撑。</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t>（7）节能减排方面。</w:t>
      </w:r>
      <w:r>
        <w:rPr>
          <w:rFonts w:ascii="仿宋_GB2312" w:eastAsia="仿宋_GB2312" w:hAnsi="宋体" w:cs="宋体" w:hint="eastAsia"/>
          <w:color w:val="000000"/>
          <w:kern w:val="0"/>
          <w:sz w:val="32"/>
          <w:szCs w:val="32"/>
        </w:rPr>
        <w:t>开展北京市交通运输环境监测网络建设试点工程运维，获取高质量的交通环境监测数据，为市交通行业环保管理、制订引导外埠过境货车绕行等政策、开展政策效果评估等提供数据支持；开展交通领域污染物排放测试与评估、交通领域能耗排放年度常规调查与数据质量控制，为相关政府部门节能减排决策，为交通需求管理工作和交通公共服务提供支持；以交通能源转型为重点，纯电动汽车和燃料电池汽车应用为主要方向，分析世界大城市绿色交通发展热点问题的措施、方案、效果和经验，结合北京城市发展要求和特点给出发展建议，为北京市绿色交通发展提供高质量的前沿跟踪和战略思考。</w:t>
      </w:r>
    </w:p>
    <w:p w:rsidR="00ED315D" w:rsidRDefault="00EE6A88">
      <w:pPr>
        <w:pStyle w:val="af"/>
        <w:adjustRightInd w:val="0"/>
        <w:snapToGrid w:val="0"/>
        <w:spacing w:line="360" w:lineRule="auto"/>
        <w:ind w:firstLine="643"/>
        <w:rPr>
          <w:rFonts w:ascii="仿宋_GB2312" w:eastAsia="仿宋_GB2312" w:hAnsi="宋体" w:cs="宋体"/>
          <w:color w:val="000000"/>
          <w:kern w:val="0"/>
          <w:sz w:val="32"/>
          <w:szCs w:val="32"/>
        </w:rPr>
      </w:pPr>
      <w:r>
        <w:rPr>
          <w:rFonts w:ascii="仿宋_GB2312" w:eastAsia="仿宋_GB2312" w:hAnsi="宋体" w:cs="宋体" w:hint="eastAsia"/>
          <w:b/>
          <w:bCs/>
          <w:color w:val="000000"/>
          <w:kern w:val="0"/>
          <w:sz w:val="32"/>
          <w:szCs w:val="32"/>
        </w:rPr>
        <w:lastRenderedPageBreak/>
        <w:t>（8）保障部门日常运转方面。</w:t>
      </w:r>
      <w:r>
        <w:rPr>
          <w:rFonts w:ascii="仿宋_GB2312" w:eastAsia="仿宋_GB2312" w:hAnsi="宋体" w:cs="宋体" w:hint="eastAsia"/>
          <w:color w:val="000000"/>
          <w:kern w:val="0"/>
          <w:sz w:val="32"/>
          <w:szCs w:val="32"/>
        </w:rPr>
        <w:t>2022年交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院部门工作人员正常履职，机构日常运转顺利，部门公共服务业务正常开展，部门社会服务能力和服务水平不断提升。</w:t>
      </w:r>
    </w:p>
    <w:p w:rsidR="00ED315D" w:rsidRDefault="00EE6A88">
      <w:pPr>
        <w:pStyle w:val="af"/>
        <w:adjustRightInd w:val="0"/>
        <w:snapToGrid w:val="0"/>
        <w:spacing w:line="360" w:lineRule="auto"/>
        <w:ind w:firstLine="643"/>
        <w:rPr>
          <w:rFonts w:ascii="仿宋_GB2312" w:eastAsia="仿宋_GB2312" w:hAnsi="宋体" w:cs="宋体"/>
          <w:bCs/>
          <w:color w:val="000000"/>
          <w:kern w:val="0"/>
          <w:sz w:val="32"/>
          <w:szCs w:val="32"/>
        </w:rPr>
      </w:pPr>
      <w:r>
        <w:rPr>
          <w:rFonts w:ascii="仿宋_GB2312" w:eastAsia="仿宋_GB2312" w:hAnsi="宋体" w:cs="宋体" w:hint="eastAsia"/>
          <w:b/>
          <w:bCs/>
          <w:color w:val="000000"/>
          <w:kern w:val="0"/>
          <w:sz w:val="32"/>
          <w:szCs w:val="32"/>
        </w:rPr>
        <w:t>（9）其他工作方面，</w:t>
      </w:r>
      <w:r>
        <w:rPr>
          <w:rFonts w:ascii="仿宋_GB2312" w:eastAsia="仿宋_GB2312" w:hAnsi="宋体" w:cs="宋体" w:hint="eastAsia"/>
          <w:bCs/>
          <w:color w:val="000000"/>
          <w:kern w:val="0"/>
          <w:sz w:val="32"/>
          <w:szCs w:val="32"/>
        </w:rPr>
        <w:t>相关工作的效益较为显著，如，交通节能减排检测评估实验室与数据挖掘项目实施为相关政府部门、决策单位的交通节能减</w:t>
      </w:r>
      <w:proofErr w:type="gramStart"/>
      <w:r>
        <w:rPr>
          <w:rFonts w:ascii="仿宋_GB2312" w:eastAsia="仿宋_GB2312" w:hAnsi="宋体" w:cs="宋体" w:hint="eastAsia"/>
          <w:bCs/>
          <w:color w:val="000000"/>
          <w:kern w:val="0"/>
          <w:sz w:val="32"/>
          <w:szCs w:val="32"/>
        </w:rPr>
        <w:t>排决策</w:t>
      </w:r>
      <w:proofErr w:type="gramEnd"/>
      <w:r>
        <w:rPr>
          <w:rFonts w:ascii="仿宋_GB2312" w:eastAsia="仿宋_GB2312" w:hAnsi="宋体" w:cs="宋体" w:hint="eastAsia"/>
          <w:bCs/>
          <w:color w:val="000000"/>
          <w:kern w:val="0"/>
          <w:sz w:val="32"/>
          <w:szCs w:val="32"/>
        </w:rPr>
        <w:t>提供指导；轨道交通运营服务品质提升策略与方案研究分析北京市轨道交通客流及接驳换乘特征，发现轨道交通存在问题，开展有关研究，有效促进轨道交通服务水平提升；通过收集和整理各种交通信息渠道交通数据，研究交通数据收集的新方法和新技术，开展交通调查,设计交通数据分析平台框架体系，开发交通数据分析平台，为掌握交通发展规律、交通政策的制定，交通规划的编制提供了充实的基础数据</w:t>
      </w:r>
      <w:bookmarkStart w:id="2" w:name="_GoBack"/>
      <w:bookmarkEnd w:id="2"/>
      <w:r>
        <w:rPr>
          <w:rFonts w:ascii="仿宋_GB2312" w:eastAsia="仿宋_GB2312" w:hAnsi="宋体" w:cs="宋体" w:hint="eastAsia"/>
          <w:bCs/>
          <w:color w:val="000000"/>
          <w:kern w:val="0"/>
          <w:sz w:val="32"/>
          <w:szCs w:val="32"/>
        </w:rPr>
        <w:t>。</w:t>
      </w:r>
    </w:p>
    <w:p w:rsidR="00ED315D" w:rsidRDefault="00EE6A88">
      <w:pPr>
        <w:pStyle w:val="af"/>
        <w:adjustRightInd w:val="0"/>
        <w:snapToGrid w:val="0"/>
        <w:spacing w:line="360" w:lineRule="auto"/>
        <w:ind w:firstLine="64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2.</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ED315D" w:rsidRDefault="00EE6A88">
      <w:pPr>
        <w:pStyle w:val="af"/>
        <w:adjustRightInd w:val="0"/>
        <w:snapToGrid w:val="0"/>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交</w:t>
      </w:r>
      <w:proofErr w:type="gramStart"/>
      <w:r>
        <w:rPr>
          <w:rFonts w:ascii="仿宋_GB2312" w:eastAsia="仿宋_GB2312" w:hAnsi="宋体" w:cs="宋体" w:hint="eastAsia"/>
          <w:color w:val="000000"/>
          <w:kern w:val="0"/>
          <w:sz w:val="32"/>
          <w:szCs w:val="32"/>
        </w:rPr>
        <w:t>研院持续</w:t>
      </w:r>
      <w:proofErr w:type="gramEnd"/>
      <w:r>
        <w:rPr>
          <w:rFonts w:ascii="仿宋_GB2312" w:eastAsia="仿宋_GB2312" w:hAnsi="宋体" w:cs="宋体" w:hint="eastAsia"/>
          <w:color w:val="000000"/>
          <w:kern w:val="0"/>
          <w:sz w:val="32"/>
          <w:szCs w:val="32"/>
        </w:rPr>
        <w:t>开展</w:t>
      </w:r>
      <w:r>
        <w:rPr>
          <w:rFonts w:ascii="仿宋_GB2312" w:eastAsia="仿宋_GB2312" w:hAnsi="宋体" w:cs="宋体"/>
          <w:color w:val="000000"/>
          <w:kern w:val="0"/>
          <w:sz w:val="32"/>
          <w:szCs w:val="32"/>
        </w:rPr>
        <w:t>北京城市交通发展战略</w:t>
      </w:r>
      <w:r>
        <w:rPr>
          <w:rFonts w:ascii="仿宋_GB2312" w:eastAsia="仿宋_GB2312" w:hAnsi="宋体" w:cs="宋体" w:hint="eastAsia"/>
          <w:color w:val="000000"/>
          <w:kern w:val="0"/>
          <w:sz w:val="32"/>
          <w:szCs w:val="32"/>
        </w:rPr>
        <w:t>等专业性相关研究，研究成果、调研数据等都支撑着相关政策研究和规划的制定，在“十四五”期间及2022年冬奥会等关键历史时期实现了北京交通发展的重大战略调整，对北京交通的规划、建设、运行和管理起到了关键性指导和引领作用。</w:t>
      </w:r>
    </w:p>
    <w:p w:rsidR="00ED315D" w:rsidRDefault="00EE6A88">
      <w:pPr>
        <w:pStyle w:val="af"/>
        <w:adjustRightInd w:val="0"/>
        <w:snapToGrid w:val="0"/>
        <w:spacing w:line="360" w:lineRule="auto"/>
        <w:ind w:firstLine="64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.服务对象</w:t>
      </w:r>
      <w:r>
        <w:rPr>
          <w:rFonts w:ascii="仿宋_GB2312" w:eastAsia="仿宋_GB2312" w:hAnsi="宋体" w:cs="宋体"/>
          <w:color w:val="000000"/>
          <w:kern w:val="0"/>
          <w:sz w:val="32"/>
          <w:szCs w:val="32"/>
        </w:rPr>
        <w:t>满意度</w:t>
      </w:r>
    </w:p>
    <w:p w:rsidR="00ED315D" w:rsidRDefault="00EE6A88">
      <w:pPr>
        <w:adjustRightInd w:val="0"/>
        <w:snapToGrid w:val="0"/>
        <w:spacing w:line="360" w:lineRule="auto"/>
        <w:ind w:firstLineChars="200" w:firstLine="640"/>
        <w:rPr>
          <w:rFonts w:ascii="仿宋_GB2312" w:eastAsia="仿宋_GB2312"/>
          <w:kern w:val="44"/>
          <w:sz w:val="32"/>
          <w:szCs w:val="32"/>
        </w:rPr>
      </w:pPr>
      <w:r>
        <w:rPr>
          <w:rFonts w:ascii="仿宋_GB2312" w:eastAsia="仿宋_GB2312" w:hAnsi="宋体" w:cs="宋体" w:hint="eastAsia"/>
          <w:color w:val="000000"/>
          <w:kern w:val="0"/>
          <w:sz w:val="32"/>
          <w:szCs w:val="32"/>
        </w:rPr>
        <w:t>2022年度，交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院部</w:t>
      </w:r>
      <w:proofErr w:type="gramStart"/>
      <w:r>
        <w:rPr>
          <w:rFonts w:ascii="仿宋_GB2312" w:eastAsia="仿宋_GB2312" w:hAnsi="宋体" w:cs="宋体" w:hint="eastAsia"/>
          <w:color w:val="000000"/>
          <w:kern w:val="0"/>
          <w:sz w:val="32"/>
          <w:szCs w:val="32"/>
        </w:rPr>
        <w:t>分研究</w:t>
      </w:r>
      <w:proofErr w:type="gramEnd"/>
      <w:r>
        <w:rPr>
          <w:rFonts w:ascii="仿宋_GB2312" w:eastAsia="仿宋_GB2312" w:hAnsi="宋体" w:cs="宋体" w:hint="eastAsia"/>
          <w:color w:val="000000"/>
          <w:kern w:val="0"/>
          <w:sz w:val="32"/>
          <w:szCs w:val="32"/>
        </w:rPr>
        <w:t>成果的应用得到了相关部门或领导的认可，如</w:t>
      </w:r>
      <w:r>
        <w:rPr>
          <w:rFonts w:ascii="仿宋_GB2312" w:eastAsia="仿宋_GB2312" w:hAnsi="仿宋" w:hint="eastAsia"/>
          <w:sz w:val="32"/>
          <w:szCs w:val="40"/>
        </w:rPr>
        <w:t>2022年交通领域污染物排放测试与评估</w:t>
      </w:r>
      <w:r>
        <w:rPr>
          <w:rFonts w:ascii="仿宋_GB2312" w:eastAsia="仿宋_GB2312" w:hAnsi="仿宋" w:hint="eastAsia"/>
          <w:sz w:val="32"/>
          <w:szCs w:val="40"/>
        </w:rPr>
        <w:lastRenderedPageBreak/>
        <w:t>项目成果对“十四五”期间</w:t>
      </w:r>
      <w:r w:rsidR="00482E89">
        <w:rPr>
          <w:rFonts w:ascii="仿宋_GB2312" w:eastAsia="仿宋_GB2312" w:hAnsi="仿宋" w:hint="eastAsia"/>
          <w:sz w:val="32"/>
          <w:szCs w:val="40"/>
        </w:rPr>
        <w:t>交通</w:t>
      </w:r>
      <w:r>
        <w:rPr>
          <w:rFonts w:ascii="仿宋_GB2312" w:eastAsia="仿宋_GB2312" w:hAnsi="仿宋" w:hint="eastAsia"/>
          <w:sz w:val="32"/>
          <w:szCs w:val="40"/>
        </w:rPr>
        <w:t>减排效果预测分析、高排放车辆淘汰、区域通行政策所产生减排效果评估等工作提供了有效的数据支撑</w:t>
      </w:r>
      <w:r w:rsidR="00482E89">
        <w:rPr>
          <w:rFonts w:ascii="仿宋_GB2312" w:eastAsia="仿宋_GB2312" w:hAnsi="仿宋" w:hint="eastAsia"/>
          <w:sz w:val="32"/>
          <w:szCs w:val="40"/>
        </w:rPr>
        <w:t>，得到相关部门</w:t>
      </w:r>
      <w:r>
        <w:rPr>
          <w:rFonts w:ascii="仿宋_GB2312" w:eastAsia="仿宋_GB2312" w:hAnsi="仿宋" w:hint="eastAsia"/>
          <w:sz w:val="32"/>
          <w:szCs w:val="40"/>
        </w:rPr>
        <w:t>高度认可；交通战略储备项目成果中《培育绿色出行文化助推绿色出行》《持续推进北京市“礼让斑马线”的对策建议》《国际城市交通热点动态梳理》《北京市儿童友好街道建设的对策建议》均被《北京交通决策参考》采纳。</w:t>
      </w:r>
    </w:p>
    <w:p w:rsidR="00ED315D" w:rsidRDefault="00EE6A88">
      <w:pPr>
        <w:adjustRightInd w:val="0"/>
        <w:snapToGrid w:val="0"/>
        <w:spacing w:line="360" w:lineRule="auto"/>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rsidR="00ED315D" w:rsidRDefault="00EE6A88">
      <w:pPr>
        <w:adjustRightInd w:val="0"/>
        <w:snapToGrid w:val="0"/>
        <w:spacing w:line="360" w:lineRule="auto"/>
        <w:ind w:firstLineChars="200" w:firstLine="640"/>
        <w:outlineLvl w:val="1"/>
        <w:rPr>
          <w:rFonts w:ascii="楷体_GB2312" w:eastAsia="楷体_GB2312"/>
          <w:sz w:val="32"/>
          <w:szCs w:val="32"/>
        </w:rPr>
      </w:pPr>
      <w:r>
        <w:rPr>
          <w:rFonts w:ascii="楷体_GB2312" w:eastAsia="楷体_GB2312" w:hint="eastAsia"/>
          <w:sz w:val="32"/>
          <w:szCs w:val="32"/>
        </w:rPr>
        <w:t>（一）财务管理</w:t>
      </w:r>
    </w:p>
    <w:p w:rsidR="00ED315D" w:rsidRDefault="00EE6A88">
      <w:pPr>
        <w:pStyle w:val="af"/>
        <w:adjustRightInd w:val="0"/>
        <w:snapToGrid w:val="0"/>
        <w:spacing w:line="360" w:lineRule="auto"/>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rsidR="00ED315D" w:rsidRDefault="00EE6A88">
      <w:pPr>
        <w:pStyle w:val="af"/>
        <w:adjustRightInd w:val="0"/>
        <w:snapToGrid w:val="0"/>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院制定了《财务管理制度》（V2.00）、《关于调整北京交通发展研究院财务报销审批权限的通知》、《公务卡管理办法》、</w:t>
      </w:r>
      <w:r>
        <w:rPr>
          <w:rFonts w:ascii="仿宋_GB2312" w:eastAsia="仿宋_GB2312" w:hAnsi="Arial" w:cs="Arial" w:hint="eastAsia"/>
          <w:sz w:val="32"/>
          <w:szCs w:val="32"/>
          <w:shd w:val="clear" w:color="auto" w:fill="FFFFFF"/>
        </w:rPr>
        <w:t>《</w:t>
      </w:r>
      <w:bookmarkStart w:id="3" w:name="_Hlk80709867"/>
      <w:r>
        <w:rPr>
          <w:rFonts w:ascii="仿宋_GB2312" w:eastAsia="仿宋_GB2312" w:hAnsi="Arial" w:cs="Arial" w:hint="eastAsia"/>
          <w:sz w:val="32"/>
          <w:szCs w:val="32"/>
          <w:shd w:val="clear" w:color="auto" w:fill="FFFFFF"/>
        </w:rPr>
        <w:t>北京交通发展研究院预算绩效管理办法</w:t>
      </w:r>
      <w:bookmarkEnd w:id="3"/>
      <w:r>
        <w:rPr>
          <w:rFonts w:ascii="仿宋_GB2312" w:eastAsia="仿宋_GB2312" w:hAnsi="Arial" w:cs="Arial" w:hint="eastAsia"/>
          <w:sz w:val="32"/>
          <w:szCs w:val="32"/>
          <w:shd w:val="clear" w:color="auto" w:fill="FFFFFF"/>
        </w:rPr>
        <w:t>》</w:t>
      </w:r>
      <w:r>
        <w:rPr>
          <w:rFonts w:ascii="仿宋_GB2312" w:eastAsia="仿宋_GB2312" w:hAnsi="宋体" w:cs="宋体" w:hint="eastAsia"/>
          <w:color w:val="000000"/>
          <w:kern w:val="0"/>
          <w:sz w:val="32"/>
          <w:szCs w:val="32"/>
        </w:rPr>
        <w:t>等财务管理制度，相关制度内容较完整，如，《财务管理制度》（V2.00）中明确了财务管理职责、财务管理基础工作、预算和决算、收入管理、支出管理、资金管理等内容；《关于调整北京交通发展研究院财务报销审批权限的通知》中明确了不同金额的审批权限等内容。同时，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院制定了《内部控制手册》，手册中明确了单位预算业务控制、收支业务控制、采购业务控制、资产控制等内容。整体上，财务</w:t>
      </w:r>
      <w:r>
        <w:rPr>
          <w:rFonts w:ascii="仿宋_GB2312" w:eastAsia="仿宋_GB2312" w:hAnsi="宋体" w:cs="宋体"/>
          <w:color w:val="000000"/>
          <w:kern w:val="0"/>
          <w:sz w:val="32"/>
          <w:szCs w:val="32"/>
        </w:rPr>
        <w:t>管理制度健全性</w:t>
      </w:r>
      <w:r>
        <w:rPr>
          <w:rFonts w:ascii="仿宋_GB2312" w:eastAsia="仿宋_GB2312" w:hAnsi="宋体" w:cs="宋体" w:hint="eastAsia"/>
          <w:color w:val="000000"/>
          <w:kern w:val="0"/>
          <w:sz w:val="32"/>
          <w:szCs w:val="32"/>
        </w:rPr>
        <w:t>。</w:t>
      </w:r>
    </w:p>
    <w:p w:rsidR="00ED315D" w:rsidRDefault="00EE6A88">
      <w:pPr>
        <w:pStyle w:val="af"/>
        <w:adjustRightInd w:val="0"/>
        <w:snapToGrid w:val="0"/>
        <w:spacing w:line="360" w:lineRule="auto"/>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性</w:t>
      </w:r>
      <w:r>
        <w:rPr>
          <w:rFonts w:ascii="仿宋_GB2312" w:eastAsia="仿宋_GB2312" w:hAnsi="宋体" w:cs="宋体"/>
          <w:color w:val="000000"/>
          <w:kern w:val="0"/>
          <w:sz w:val="32"/>
          <w:szCs w:val="32"/>
        </w:rPr>
        <w:t>和安全性</w:t>
      </w:r>
    </w:p>
    <w:p w:rsidR="00ED315D" w:rsidRDefault="00EE6A88">
      <w:pPr>
        <w:pStyle w:val="af"/>
        <w:adjustRightInd w:val="0"/>
        <w:snapToGrid w:val="0"/>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bCs/>
          <w:color w:val="000000"/>
          <w:kern w:val="0"/>
          <w:sz w:val="32"/>
          <w:szCs w:val="32"/>
        </w:rPr>
        <w:lastRenderedPageBreak/>
        <w:t>具体执行过程中</w:t>
      </w:r>
      <w:r>
        <w:rPr>
          <w:rFonts w:ascii="仿宋_GB2312" w:eastAsia="仿宋_GB2312" w:hAnsi="宋体" w:cs="宋体" w:hint="eastAsia"/>
          <w:color w:val="000000"/>
          <w:kern w:val="0"/>
          <w:sz w:val="32"/>
          <w:szCs w:val="32"/>
        </w:rPr>
        <w:t>，交</w:t>
      </w:r>
      <w:proofErr w:type="gramStart"/>
      <w:r>
        <w:rPr>
          <w:rFonts w:ascii="仿宋_GB2312" w:eastAsia="仿宋_GB2312" w:hAnsi="宋体" w:cs="宋体" w:hint="eastAsia"/>
          <w:color w:val="000000"/>
          <w:kern w:val="0"/>
          <w:sz w:val="32"/>
          <w:szCs w:val="32"/>
        </w:rPr>
        <w:t>研院能够</w:t>
      </w:r>
      <w:proofErr w:type="gramEnd"/>
      <w:r>
        <w:rPr>
          <w:rFonts w:ascii="仿宋_GB2312" w:eastAsia="仿宋_GB2312" w:hAnsi="宋体" w:cs="宋体" w:hint="eastAsia"/>
          <w:color w:val="000000"/>
          <w:kern w:val="0"/>
          <w:sz w:val="32"/>
          <w:szCs w:val="32"/>
        </w:rPr>
        <w:t>遵守有关制度规定进行专款专用、独立核算，并运用OA系统进行监督管理。财务管理实行院长负责制，院长对院办公会负责；财务人员负责部门整体的财务管理和会计核算；项目资金使用由项目负责人编制计划，并按实际发生进行使用和记录，资金支出经项目负责人、部门主管领导、院级领导分层审批，项目资金使用管理程序较为规范。整体上，交</w:t>
      </w:r>
      <w:proofErr w:type="gramStart"/>
      <w:r>
        <w:rPr>
          <w:rFonts w:ascii="仿宋_GB2312" w:eastAsia="仿宋_GB2312" w:hAnsi="宋体" w:cs="宋体" w:hint="eastAsia"/>
          <w:color w:val="000000"/>
          <w:kern w:val="0"/>
          <w:sz w:val="32"/>
          <w:szCs w:val="32"/>
        </w:rPr>
        <w:t>研院相关</w:t>
      </w:r>
      <w:proofErr w:type="gramEnd"/>
      <w:r>
        <w:rPr>
          <w:rFonts w:ascii="仿宋_GB2312" w:eastAsia="仿宋_GB2312" w:hAnsi="宋体" w:cs="宋体" w:hint="eastAsia"/>
          <w:color w:val="000000"/>
          <w:kern w:val="0"/>
          <w:sz w:val="32"/>
          <w:szCs w:val="32"/>
        </w:rPr>
        <w:t>资金使用符合国家财经法规和财务管理制度规定以及有关专项资金管理办法的规定，资金的拨付有完整的审批程序和手续，相关支出符合部门预算批复的用途，不存在截留、挤占、挪用情况，且资金使用符合政府采购的程序和流程，以及公务卡结算相关制度和规定，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性</w:t>
      </w:r>
      <w:r>
        <w:rPr>
          <w:rFonts w:ascii="仿宋_GB2312" w:eastAsia="仿宋_GB2312" w:hAnsi="宋体" w:cs="宋体"/>
          <w:color w:val="000000"/>
          <w:kern w:val="0"/>
          <w:sz w:val="32"/>
          <w:szCs w:val="32"/>
        </w:rPr>
        <w:t>和安全性</w:t>
      </w:r>
      <w:r>
        <w:rPr>
          <w:rFonts w:ascii="仿宋_GB2312" w:eastAsia="仿宋_GB2312" w:hAnsi="宋体" w:cs="宋体" w:hint="eastAsia"/>
          <w:color w:val="000000"/>
          <w:kern w:val="0"/>
          <w:sz w:val="32"/>
          <w:szCs w:val="32"/>
        </w:rPr>
        <w:t>较好。</w:t>
      </w:r>
    </w:p>
    <w:p w:rsidR="00ED315D" w:rsidRDefault="00EE6A88">
      <w:pPr>
        <w:pStyle w:val="af"/>
        <w:adjustRightInd w:val="0"/>
        <w:snapToGrid w:val="0"/>
        <w:spacing w:line="360" w:lineRule="auto"/>
        <w:ind w:firstLine="640"/>
        <w:outlineLvl w:val="2"/>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rsidR="00ED315D" w:rsidRDefault="00EE6A88">
      <w:pPr>
        <w:pStyle w:val="af"/>
        <w:adjustRightInd w:val="0"/>
        <w:snapToGrid w:val="0"/>
        <w:spacing w:line="360" w:lineRule="auto"/>
        <w:ind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院会计基础信息较为完善，相关会计凭证、会计账簿、财务报表、重要经济合同及财务管理有关各种文件由会计专人管理，财务报表编报及时，数据真实可靠、全面完整。</w:t>
      </w:r>
    </w:p>
    <w:p w:rsidR="00ED315D" w:rsidRDefault="00EE6A88">
      <w:pPr>
        <w:adjustRightInd w:val="0"/>
        <w:snapToGrid w:val="0"/>
        <w:spacing w:line="360" w:lineRule="auto"/>
        <w:ind w:firstLineChars="200" w:firstLine="640"/>
        <w:outlineLvl w:val="1"/>
        <w:rPr>
          <w:rFonts w:ascii="楷体_GB2312" w:eastAsia="楷体_GB2312"/>
          <w:sz w:val="32"/>
          <w:szCs w:val="32"/>
        </w:rPr>
      </w:pPr>
      <w:r>
        <w:rPr>
          <w:rFonts w:ascii="楷体_GB2312" w:eastAsia="楷体_GB2312" w:hint="eastAsia"/>
          <w:sz w:val="32"/>
          <w:szCs w:val="32"/>
        </w:rPr>
        <w:t>（二）资产管理</w:t>
      </w:r>
    </w:p>
    <w:p w:rsidR="00ED315D" w:rsidRDefault="00EE6A88">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院在</w:t>
      </w:r>
      <w:r>
        <w:rPr>
          <w:rFonts w:ascii="仿宋_GB2312" w:eastAsia="仿宋_GB2312" w:hAnsi="宋体" w:cs="宋体"/>
          <w:color w:val="000000"/>
          <w:kern w:val="0"/>
          <w:sz w:val="32"/>
          <w:szCs w:val="32"/>
        </w:rPr>
        <w:t>ISO</w:t>
      </w:r>
      <w:r>
        <w:rPr>
          <w:rFonts w:ascii="仿宋_GB2312" w:eastAsia="仿宋_GB2312" w:hAnsi="宋体" w:cs="宋体" w:hint="eastAsia"/>
          <w:color w:val="000000"/>
          <w:kern w:val="0"/>
          <w:sz w:val="32"/>
          <w:szCs w:val="32"/>
        </w:rPr>
        <w:t>质量管理体系中制定了《基础设施管理程序》，程序主要规范固定资产的分类、购置、领用和处置，同时单位《内部控制手册》对固定资产购置管理控制流程、固定资产出入库管理控制流程、固定资产维修管理控制流程、固定资产盘点管理控制流程、固定资产报废管理控制流程等</w:t>
      </w:r>
      <w:r>
        <w:rPr>
          <w:rFonts w:ascii="仿宋_GB2312" w:eastAsia="仿宋_GB2312" w:hAnsi="宋体" w:cs="宋体" w:hint="eastAsia"/>
          <w:color w:val="000000"/>
          <w:kern w:val="0"/>
          <w:sz w:val="32"/>
          <w:szCs w:val="32"/>
        </w:rPr>
        <w:lastRenderedPageBreak/>
        <w:t>内容也进行了明确规定。在固定资产管理过程中，交</w:t>
      </w:r>
      <w:proofErr w:type="gramStart"/>
      <w:r>
        <w:rPr>
          <w:rFonts w:ascii="仿宋_GB2312" w:eastAsia="仿宋_GB2312" w:hAnsi="宋体" w:cs="宋体" w:hint="eastAsia"/>
          <w:color w:val="000000"/>
          <w:kern w:val="0"/>
          <w:sz w:val="32"/>
          <w:szCs w:val="32"/>
        </w:rPr>
        <w:t>研</w:t>
      </w:r>
      <w:proofErr w:type="gramEnd"/>
      <w:r>
        <w:rPr>
          <w:rFonts w:ascii="仿宋_GB2312" w:eastAsia="仿宋_GB2312" w:hAnsi="宋体" w:cs="宋体" w:hint="eastAsia"/>
          <w:color w:val="000000"/>
          <w:kern w:val="0"/>
          <w:sz w:val="32"/>
          <w:szCs w:val="32"/>
        </w:rPr>
        <w:t>院办公室按部门建立了固定资产领用登记账，登记各部门占有固定资产情况，每年定期对固定资产进行全面资产清查、盘点，保证账</w:t>
      </w:r>
      <w:proofErr w:type="gramStart"/>
      <w:r>
        <w:rPr>
          <w:rFonts w:ascii="仿宋_GB2312" w:eastAsia="仿宋_GB2312" w:hAnsi="宋体" w:cs="宋体" w:hint="eastAsia"/>
          <w:color w:val="000000"/>
          <w:kern w:val="0"/>
          <w:sz w:val="32"/>
          <w:szCs w:val="32"/>
        </w:rPr>
        <w:t>账</w:t>
      </w:r>
      <w:proofErr w:type="gramEnd"/>
      <w:r>
        <w:rPr>
          <w:rFonts w:ascii="仿宋_GB2312" w:eastAsia="仿宋_GB2312" w:hAnsi="宋体" w:cs="宋体" w:hint="eastAsia"/>
          <w:color w:val="000000"/>
          <w:kern w:val="0"/>
          <w:sz w:val="32"/>
          <w:szCs w:val="32"/>
        </w:rPr>
        <w:t>相符，账实相符。同时，固定资产购置申请文件、审批文件及购入验收单等文件较为完备，固定资产的处置较为规范、完整。</w:t>
      </w:r>
    </w:p>
    <w:p w:rsidR="00ED315D" w:rsidRDefault="00EE6A88">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截至</w:t>
      </w:r>
      <w:r>
        <w:rPr>
          <w:rFonts w:ascii="仿宋_GB2312" w:eastAsia="仿宋_GB2312" w:hAnsi="宋体" w:cs="宋体"/>
          <w:color w:val="000000"/>
          <w:kern w:val="0"/>
          <w:sz w:val="32"/>
          <w:szCs w:val="32"/>
        </w:rPr>
        <w:t>202</w:t>
      </w:r>
      <w:r>
        <w:rPr>
          <w:rFonts w:ascii="仿宋_GB2312" w:eastAsia="仿宋_GB2312" w:hAnsi="宋体" w:cs="宋体" w:hint="eastAsia"/>
          <w:color w:val="000000"/>
          <w:kern w:val="0"/>
          <w:sz w:val="32"/>
          <w:szCs w:val="32"/>
        </w:rPr>
        <w:t>2年底，交</w:t>
      </w:r>
      <w:proofErr w:type="gramStart"/>
      <w:r>
        <w:rPr>
          <w:rFonts w:ascii="仿宋_GB2312" w:eastAsia="仿宋_GB2312" w:hAnsi="宋体" w:cs="宋体" w:hint="eastAsia"/>
          <w:color w:val="000000"/>
          <w:kern w:val="0"/>
          <w:sz w:val="32"/>
          <w:szCs w:val="32"/>
        </w:rPr>
        <w:t>研院资产</w:t>
      </w:r>
      <w:proofErr w:type="gramEnd"/>
      <w:r>
        <w:rPr>
          <w:rFonts w:ascii="仿宋_GB2312" w:eastAsia="仿宋_GB2312" w:hAnsi="宋体" w:cs="宋体" w:hint="eastAsia"/>
          <w:color w:val="000000"/>
          <w:kern w:val="0"/>
          <w:sz w:val="32"/>
          <w:szCs w:val="32"/>
        </w:rPr>
        <w:t>总额24,947.02万元，其中固定资产总额13,247.69万元，流动资产19,324.35万元</w:t>
      </w:r>
      <w:r>
        <w:rPr>
          <w:rFonts w:ascii="仿宋_GB2312" w:eastAsia="仿宋_GB2312" w:hAnsi="宋体" w:cs="宋体"/>
          <w:color w:val="000000"/>
          <w:kern w:val="0"/>
          <w:sz w:val="32"/>
          <w:szCs w:val="32"/>
        </w:rPr>
        <w:t>,长期投资0</w:t>
      </w:r>
      <w:r>
        <w:rPr>
          <w:rFonts w:ascii="仿宋_GB2312" w:eastAsia="仿宋_GB2312" w:hAnsi="宋体" w:cs="宋体" w:hint="eastAsia"/>
          <w:color w:val="000000"/>
          <w:kern w:val="0"/>
          <w:sz w:val="32"/>
          <w:szCs w:val="32"/>
        </w:rPr>
        <w:t>万元；负债总额3,364.88万元，净资产总额21,582.14万元。</w:t>
      </w:r>
    </w:p>
    <w:p w:rsidR="00ED315D" w:rsidRDefault="00EE6A88">
      <w:pPr>
        <w:adjustRightInd w:val="0"/>
        <w:snapToGrid w:val="0"/>
        <w:spacing w:line="360" w:lineRule="auto"/>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总体来看，交</w:t>
      </w:r>
      <w:proofErr w:type="gramStart"/>
      <w:r>
        <w:rPr>
          <w:rFonts w:ascii="仿宋_GB2312" w:eastAsia="仿宋_GB2312" w:hAnsi="宋体" w:cs="宋体" w:hint="eastAsia"/>
          <w:color w:val="000000"/>
          <w:kern w:val="0"/>
          <w:sz w:val="32"/>
          <w:szCs w:val="32"/>
        </w:rPr>
        <w:t>研院资产</w:t>
      </w:r>
      <w:proofErr w:type="gramEnd"/>
      <w:r>
        <w:rPr>
          <w:rFonts w:ascii="仿宋_GB2312" w:eastAsia="仿宋_GB2312" w:hAnsi="宋体" w:cs="宋体" w:hint="eastAsia"/>
          <w:color w:val="000000"/>
          <w:kern w:val="0"/>
          <w:sz w:val="32"/>
          <w:szCs w:val="32"/>
        </w:rPr>
        <w:t>保持安全完整，资产配置较合理，资产使用和处置方面不存在未经批准擅自出租、出借资产、不按要求进行报批或资产不公开处置行为。</w:t>
      </w:r>
    </w:p>
    <w:p w:rsidR="00ED315D" w:rsidRDefault="00EE6A88">
      <w:pPr>
        <w:adjustRightInd w:val="0"/>
        <w:snapToGrid w:val="0"/>
        <w:spacing w:line="360" w:lineRule="auto"/>
        <w:ind w:firstLineChars="200" w:firstLine="640"/>
        <w:outlineLvl w:val="1"/>
        <w:rPr>
          <w:rFonts w:ascii="楷体_GB2312" w:eastAsia="楷体_GB2312"/>
          <w:sz w:val="32"/>
          <w:szCs w:val="32"/>
        </w:rPr>
      </w:pPr>
      <w:r>
        <w:rPr>
          <w:rFonts w:ascii="楷体_GB2312" w:eastAsia="楷体_GB2312" w:hint="eastAsia"/>
          <w:sz w:val="32"/>
          <w:szCs w:val="32"/>
        </w:rPr>
        <w:t>（三）绩效</w:t>
      </w:r>
      <w:r>
        <w:rPr>
          <w:rFonts w:ascii="楷体_GB2312" w:eastAsia="楷体_GB2312"/>
          <w:sz w:val="32"/>
          <w:szCs w:val="32"/>
        </w:rPr>
        <w:t>管理</w:t>
      </w:r>
    </w:p>
    <w:p w:rsidR="00ED315D" w:rsidRDefault="00EE6A88">
      <w:pPr>
        <w:pStyle w:val="af"/>
        <w:adjustRightInd w:val="0"/>
        <w:snapToGrid w:val="0"/>
        <w:spacing w:line="360" w:lineRule="auto"/>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组织机构设置情况</w:t>
      </w:r>
    </w:p>
    <w:p w:rsidR="00ED315D" w:rsidRDefault="00EE6A88">
      <w:pPr>
        <w:adjustRightInd w:val="0"/>
        <w:snapToGrid w:val="0"/>
        <w:spacing w:line="360" w:lineRule="auto"/>
        <w:ind w:firstLineChars="200" w:firstLine="640"/>
        <w:rPr>
          <w:rFonts w:ascii="仿宋_GB2312" w:eastAsia="仿宋_GB2312"/>
          <w:color w:val="000000"/>
          <w:sz w:val="32"/>
          <w:szCs w:val="32"/>
        </w:rPr>
      </w:pPr>
      <w:r>
        <w:rPr>
          <w:rFonts w:ascii="仿宋_GB2312" w:eastAsia="仿宋_GB2312" w:hAnsi="仿宋_GB2312" w:cs="仿宋_GB2312" w:hint="eastAsia"/>
          <w:bCs/>
          <w:sz w:val="32"/>
          <w:szCs w:val="32"/>
        </w:rPr>
        <w:t>交</w:t>
      </w:r>
      <w:proofErr w:type="gramStart"/>
      <w:r>
        <w:rPr>
          <w:rFonts w:ascii="仿宋_GB2312" w:eastAsia="仿宋_GB2312" w:hAnsi="仿宋_GB2312" w:cs="仿宋_GB2312" w:hint="eastAsia"/>
          <w:bCs/>
          <w:sz w:val="32"/>
          <w:szCs w:val="32"/>
        </w:rPr>
        <w:t>研</w:t>
      </w:r>
      <w:proofErr w:type="gramEnd"/>
      <w:r>
        <w:rPr>
          <w:rFonts w:ascii="仿宋_GB2312" w:eastAsia="仿宋_GB2312" w:hAnsi="仿宋_GB2312" w:cs="仿宋_GB2312" w:hint="eastAsia"/>
          <w:bCs/>
          <w:sz w:val="32"/>
          <w:szCs w:val="32"/>
        </w:rPr>
        <w:t>院</w:t>
      </w:r>
      <w:r>
        <w:rPr>
          <w:rFonts w:ascii="仿宋_GB2312" w:eastAsia="仿宋_GB2312" w:hAnsi="仿宋_GB2312" w:cs="仿宋_GB2312" w:hint="eastAsia"/>
          <w:sz w:val="32"/>
          <w:szCs w:val="32"/>
        </w:rPr>
        <w:t>建立了较为健全的绩效管理组织机构并明确了相关负责人职责，</w:t>
      </w:r>
      <w:r>
        <w:rPr>
          <w:rFonts w:ascii="仿宋_GB2312" w:eastAsia="仿宋_GB2312" w:hint="eastAsia"/>
          <w:color w:val="000000"/>
          <w:sz w:val="32"/>
          <w:szCs w:val="32"/>
        </w:rPr>
        <w:t>根据市财政局全过程预算绩效管理工作要求，成立了由一把手负责、主管领导牵头的预算绩效管理工作领导小组；成立了由财务部牵头，各业务部门负责人共同组成的预算绩效管理工作领导小组办公室。预算绩效管理工作领导小组负责拟定、审批预算绩效管理工作的相关规定性文件，监督检查预算绩效管理工作；预算绩效管理工作领导</w:t>
      </w:r>
      <w:r>
        <w:rPr>
          <w:rFonts w:ascii="仿宋_GB2312" w:eastAsia="仿宋_GB2312" w:hint="eastAsia"/>
          <w:color w:val="000000"/>
          <w:sz w:val="32"/>
          <w:szCs w:val="32"/>
        </w:rPr>
        <w:lastRenderedPageBreak/>
        <w:t>小组办公室负责统一组织指导预算绩效管理工作；负责绩效目标的形式性审核；指导和监督各部门开展预算绩效管理工作；协助相关部门开展事前绩效评估、预算执行跟踪、绩效评价和再评价工作；定期对预算绩效管理工作进行总结、分析。</w:t>
      </w:r>
    </w:p>
    <w:p w:rsidR="00ED315D" w:rsidRDefault="00EE6A88">
      <w:pPr>
        <w:pStyle w:val="af"/>
        <w:adjustRightInd w:val="0"/>
        <w:snapToGrid w:val="0"/>
        <w:spacing w:line="360" w:lineRule="auto"/>
        <w:ind w:firstLine="640"/>
        <w:outlineLvl w:val="2"/>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绩效信息汇总分析、采取相关措施情况</w:t>
      </w:r>
    </w:p>
    <w:p w:rsidR="00ED315D" w:rsidRDefault="00EE6A88">
      <w:pPr>
        <w:adjustRightInd w:val="0"/>
        <w:snapToGrid w:val="0"/>
        <w:spacing w:line="360" w:lineRule="auto"/>
        <w:ind w:firstLineChars="200" w:firstLine="640"/>
        <w:rPr>
          <w:rFonts w:ascii="仿宋_GB2312" w:eastAsia="仿宋_GB2312" w:hAnsi="宋体"/>
          <w:color w:val="FF0000"/>
          <w:kern w:val="0"/>
          <w:sz w:val="32"/>
          <w:szCs w:val="32"/>
        </w:rPr>
      </w:pPr>
      <w:r>
        <w:rPr>
          <w:rFonts w:ascii="仿宋_GB2312" w:eastAsia="仿宋_GB2312" w:hint="eastAsia"/>
          <w:color w:val="000000"/>
          <w:sz w:val="32"/>
          <w:szCs w:val="32"/>
        </w:rPr>
        <w:t>为更好地开展全过程预算绩效管理工作，并确保部门绩效目标的实现，及时发现部门预算执行中出现的问题并进行纠偏，部门实施全过程绩效跟踪工作，工作内容包括：制定绩效跟踪方案，开展全院层面的预算绩效管理培训工作，开展绩效跟踪半年总结及意见反馈，开展绩效目标填报培训，开展绩效跟踪全年总结及意见反馈，开展绩效自评工作。</w:t>
      </w:r>
    </w:p>
    <w:p w:rsidR="00ED315D" w:rsidRDefault="00EE6A88">
      <w:pPr>
        <w:adjustRightInd w:val="0"/>
        <w:snapToGrid w:val="0"/>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绩效跟踪方面，交</w:t>
      </w:r>
      <w:proofErr w:type="gramStart"/>
      <w:r>
        <w:rPr>
          <w:rFonts w:ascii="仿宋_GB2312" w:eastAsia="仿宋_GB2312" w:hint="eastAsia"/>
          <w:color w:val="000000"/>
          <w:sz w:val="32"/>
          <w:szCs w:val="32"/>
        </w:rPr>
        <w:t>研院每</w:t>
      </w:r>
      <w:proofErr w:type="gramEnd"/>
      <w:r>
        <w:rPr>
          <w:rFonts w:ascii="仿宋_GB2312" w:eastAsia="仿宋_GB2312" w:hint="eastAsia"/>
          <w:color w:val="000000"/>
          <w:sz w:val="32"/>
          <w:szCs w:val="32"/>
        </w:rPr>
        <w:t>半年收集单位整体层面、部门层面、项目层面资料，汇总部门半年、全年绩效完成情况。分别在20</w:t>
      </w:r>
      <w:r>
        <w:rPr>
          <w:rFonts w:ascii="仿宋_GB2312" w:eastAsia="仿宋_GB2312"/>
          <w:color w:val="000000"/>
          <w:sz w:val="32"/>
          <w:szCs w:val="32"/>
        </w:rPr>
        <w:t>2</w:t>
      </w:r>
      <w:r>
        <w:rPr>
          <w:rFonts w:ascii="仿宋_GB2312" w:eastAsia="仿宋_GB2312" w:hint="eastAsia"/>
          <w:color w:val="000000"/>
          <w:sz w:val="32"/>
          <w:szCs w:val="32"/>
        </w:rPr>
        <w:t>2年8月初、20</w:t>
      </w:r>
      <w:r>
        <w:rPr>
          <w:rFonts w:ascii="仿宋_GB2312" w:eastAsia="仿宋_GB2312"/>
          <w:color w:val="000000"/>
          <w:sz w:val="32"/>
          <w:szCs w:val="32"/>
        </w:rPr>
        <w:t>2</w:t>
      </w:r>
      <w:r>
        <w:rPr>
          <w:rFonts w:ascii="仿宋_GB2312" w:eastAsia="仿宋_GB2312" w:hint="eastAsia"/>
          <w:color w:val="000000"/>
          <w:sz w:val="32"/>
          <w:szCs w:val="32"/>
        </w:rPr>
        <w:t>3年3月提交相关绩效材料，预算绩效管理工作领导小组办公室对提交的材料进行汇总、分析，完成部门半年和全年绩效总结工作，相关措施较为有效，交</w:t>
      </w:r>
      <w:proofErr w:type="gramStart"/>
      <w:r>
        <w:rPr>
          <w:rFonts w:ascii="仿宋_GB2312" w:eastAsia="仿宋_GB2312" w:hint="eastAsia"/>
          <w:color w:val="000000"/>
          <w:sz w:val="32"/>
          <w:szCs w:val="32"/>
        </w:rPr>
        <w:t>研院相关</w:t>
      </w:r>
      <w:proofErr w:type="gramEnd"/>
      <w:r>
        <w:rPr>
          <w:rFonts w:ascii="仿宋_GB2312" w:eastAsia="仿宋_GB2312" w:hint="eastAsia"/>
          <w:color w:val="000000"/>
          <w:sz w:val="32"/>
          <w:szCs w:val="32"/>
        </w:rPr>
        <w:t>数据真实、准确，能够反映部门整体绩效和各部门履职情况。</w:t>
      </w:r>
    </w:p>
    <w:p w:rsidR="00ED315D" w:rsidRDefault="00EE6A88">
      <w:pPr>
        <w:adjustRightInd w:val="0"/>
        <w:snapToGrid w:val="0"/>
        <w:spacing w:line="360" w:lineRule="auto"/>
        <w:ind w:firstLineChars="200" w:firstLine="640"/>
        <w:rPr>
          <w:rFonts w:ascii="仿宋_GB2312" w:eastAsia="仿宋_GB2312"/>
          <w:color w:val="000000"/>
          <w:sz w:val="32"/>
          <w:szCs w:val="32"/>
        </w:rPr>
      </w:pPr>
      <w:r>
        <w:rPr>
          <w:rFonts w:ascii="仿宋_GB2312" w:eastAsia="仿宋_GB2312" w:hint="eastAsia"/>
          <w:color w:val="000000"/>
          <w:sz w:val="32"/>
          <w:szCs w:val="32"/>
        </w:rPr>
        <w:t>绩效自评方面，2022年项目执行结束后，交</w:t>
      </w:r>
      <w:proofErr w:type="gramStart"/>
      <w:r>
        <w:rPr>
          <w:rFonts w:ascii="仿宋_GB2312" w:eastAsia="仿宋_GB2312" w:hint="eastAsia"/>
          <w:color w:val="000000"/>
          <w:sz w:val="32"/>
          <w:szCs w:val="32"/>
        </w:rPr>
        <w:t>研</w:t>
      </w:r>
      <w:proofErr w:type="gramEnd"/>
      <w:r>
        <w:rPr>
          <w:rFonts w:ascii="仿宋_GB2312" w:eastAsia="仿宋_GB2312" w:hint="eastAsia"/>
          <w:color w:val="000000"/>
          <w:sz w:val="32"/>
          <w:szCs w:val="32"/>
        </w:rPr>
        <w:t>院按照财政相关要求，</w:t>
      </w:r>
      <w:r>
        <w:rPr>
          <w:rFonts w:ascii="仿宋_GB2312" w:eastAsia="仿宋_GB2312" w:hint="eastAsia"/>
          <w:b/>
          <w:color w:val="000000"/>
          <w:sz w:val="32"/>
          <w:szCs w:val="32"/>
        </w:rPr>
        <w:t>一是</w:t>
      </w:r>
      <w:r>
        <w:rPr>
          <w:rFonts w:ascii="仿宋_GB2312" w:eastAsia="仿宋_GB2312" w:hint="eastAsia"/>
          <w:color w:val="000000"/>
          <w:sz w:val="32"/>
          <w:szCs w:val="32"/>
        </w:rPr>
        <w:t>及时组织对单位所有36个项目（含其他资金项目10个）的自评工作，各项目自评打分结果均在90</w:t>
      </w:r>
      <w:r>
        <w:rPr>
          <w:rFonts w:ascii="仿宋_GB2312" w:eastAsia="仿宋_GB2312" w:hint="eastAsia"/>
          <w:color w:val="000000"/>
          <w:sz w:val="32"/>
          <w:szCs w:val="32"/>
        </w:rPr>
        <w:lastRenderedPageBreak/>
        <w:t>分以上；</w:t>
      </w:r>
      <w:r>
        <w:rPr>
          <w:rFonts w:ascii="仿宋_GB2312" w:eastAsia="仿宋_GB2312" w:hint="eastAsia"/>
          <w:b/>
          <w:color w:val="000000"/>
          <w:sz w:val="32"/>
          <w:szCs w:val="32"/>
        </w:rPr>
        <w:t>二是</w:t>
      </w:r>
      <w:r>
        <w:rPr>
          <w:rFonts w:ascii="仿宋_GB2312" w:eastAsia="仿宋_GB2312" w:hint="eastAsia"/>
          <w:color w:val="000000"/>
          <w:sz w:val="32"/>
          <w:szCs w:val="32"/>
        </w:rPr>
        <w:t>选取年度小样本交通综合调查项目开展重点项目绩效评价，经专家评审后，项目综合得分为81.98分，评价结果良好。</w:t>
      </w:r>
    </w:p>
    <w:p w:rsidR="00ED315D" w:rsidRDefault="00EE6A88">
      <w:pPr>
        <w:adjustRightInd w:val="0"/>
        <w:snapToGrid w:val="0"/>
        <w:spacing w:line="360" w:lineRule="auto"/>
        <w:ind w:firstLineChars="200" w:firstLine="640"/>
        <w:outlineLvl w:val="1"/>
        <w:rPr>
          <w:rFonts w:ascii="楷体_GB2312" w:eastAsia="楷体_GB2312"/>
          <w:sz w:val="32"/>
          <w:szCs w:val="32"/>
        </w:rPr>
      </w:pPr>
      <w:r>
        <w:rPr>
          <w:rFonts w:ascii="楷体_GB2312" w:eastAsia="楷体_GB2312" w:hint="eastAsia"/>
          <w:sz w:val="32"/>
          <w:szCs w:val="32"/>
        </w:rPr>
        <w:t>（四）结转结余率</w:t>
      </w:r>
    </w:p>
    <w:p w:rsidR="00ED315D" w:rsidRDefault="00EE6A88">
      <w:pPr>
        <w:adjustRightInd w:val="0"/>
        <w:snapToGrid w:val="0"/>
        <w:spacing w:line="360" w:lineRule="auto"/>
        <w:ind w:firstLineChars="200" w:firstLine="643"/>
        <w:rPr>
          <w:rFonts w:ascii="仿宋_GB2312" w:eastAsia="仿宋_GB2312" w:hAnsi="仿宋_GB2312" w:cs="仿宋_GB2312"/>
          <w:bCs/>
          <w:sz w:val="32"/>
          <w:szCs w:val="32"/>
        </w:rPr>
      </w:pPr>
      <w:r>
        <w:rPr>
          <w:rFonts w:ascii="仿宋_GB2312" w:eastAsia="仿宋_GB2312" w:hAnsi="仿宋_GB2312" w:cs="仿宋_GB2312" w:hint="eastAsia"/>
          <w:b/>
          <w:bCs/>
          <w:sz w:val="32"/>
          <w:szCs w:val="32"/>
        </w:rPr>
        <w:t>年度总预算方面：</w:t>
      </w:r>
      <w:r>
        <w:rPr>
          <w:rFonts w:ascii="仿宋_GB2312" w:eastAsia="仿宋_GB2312" w:hAnsi="仿宋_GB2312" w:cs="仿宋_GB2312" w:hint="eastAsia"/>
          <w:bCs/>
          <w:sz w:val="32"/>
          <w:szCs w:val="32"/>
        </w:rPr>
        <w:t>交</w:t>
      </w:r>
      <w:proofErr w:type="gramStart"/>
      <w:r>
        <w:rPr>
          <w:rFonts w:ascii="仿宋_GB2312" w:eastAsia="仿宋_GB2312" w:hAnsi="仿宋_GB2312" w:cs="仿宋_GB2312" w:hint="eastAsia"/>
          <w:bCs/>
          <w:sz w:val="32"/>
          <w:szCs w:val="32"/>
        </w:rPr>
        <w:t>研</w:t>
      </w:r>
      <w:proofErr w:type="gramEnd"/>
      <w:r>
        <w:rPr>
          <w:rFonts w:ascii="仿宋_GB2312" w:eastAsia="仿宋_GB2312" w:hAnsi="仿宋_GB2312" w:cs="仿宋_GB2312" w:hint="eastAsia"/>
          <w:bCs/>
          <w:sz w:val="32"/>
          <w:szCs w:val="32"/>
        </w:rPr>
        <w:t>院</w:t>
      </w:r>
      <w:r>
        <w:rPr>
          <w:rFonts w:ascii="仿宋_GB2312" w:eastAsia="仿宋_GB2312" w:hAnsi="仿宋_GB2312" w:cs="仿宋_GB2312"/>
          <w:bCs/>
          <w:sz w:val="32"/>
          <w:szCs w:val="32"/>
        </w:rPr>
        <w:t>202</w:t>
      </w:r>
      <w:r>
        <w:rPr>
          <w:rFonts w:ascii="仿宋_GB2312" w:eastAsia="仿宋_GB2312" w:hAnsi="仿宋_GB2312" w:cs="仿宋_GB2312" w:hint="eastAsia"/>
          <w:bCs/>
          <w:sz w:val="32"/>
          <w:szCs w:val="32"/>
        </w:rPr>
        <w:t>2年度结转结余总额</w:t>
      </w:r>
      <w:r>
        <w:rPr>
          <w:rFonts w:ascii="仿宋_GB2312" w:eastAsia="仿宋_GB2312" w:hAnsi="宋体" w:cs="宋体" w:hint="eastAsia"/>
          <w:color w:val="000000"/>
          <w:kern w:val="0"/>
          <w:sz w:val="32"/>
          <w:szCs w:val="32"/>
        </w:rPr>
        <w:t>13,505.27</w:t>
      </w:r>
      <w:r>
        <w:rPr>
          <w:rFonts w:ascii="仿宋_GB2312" w:eastAsia="仿宋_GB2312" w:hAnsi="仿宋_GB2312" w:cs="仿宋_GB2312" w:hint="eastAsia"/>
          <w:bCs/>
          <w:sz w:val="32"/>
          <w:szCs w:val="32"/>
        </w:rPr>
        <w:t>万元，支出预算数</w:t>
      </w:r>
      <w:r>
        <w:rPr>
          <w:rFonts w:ascii="仿宋_GB2312" w:eastAsia="仿宋_GB2312" w:hAnsi="宋体" w:cs="宋体" w:hint="eastAsia"/>
          <w:color w:val="000000"/>
          <w:kern w:val="0"/>
          <w:sz w:val="32"/>
          <w:szCs w:val="32"/>
        </w:rPr>
        <w:t>26,246.31</w:t>
      </w:r>
      <w:r>
        <w:rPr>
          <w:rFonts w:ascii="仿宋_GB2312" w:eastAsia="仿宋_GB2312" w:hAnsi="仿宋_GB2312" w:cs="仿宋_GB2312" w:hint="eastAsia"/>
          <w:bCs/>
          <w:sz w:val="32"/>
          <w:szCs w:val="32"/>
        </w:rPr>
        <w:t>万元，结转结余率为</w:t>
      </w:r>
      <w:r>
        <w:rPr>
          <w:rFonts w:ascii="仿宋_GB2312" w:eastAsia="仿宋_GB2312" w:hAnsi="仿宋_GB2312" w:cs="仿宋_GB2312"/>
          <w:bCs/>
          <w:sz w:val="32"/>
          <w:szCs w:val="32"/>
        </w:rPr>
        <w:t>5</w:t>
      </w:r>
      <w:r>
        <w:rPr>
          <w:rFonts w:ascii="仿宋_GB2312" w:eastAsia="仿宋_GB2312" w:hAnsi="仿宋_GB2312" w:cs="仿宋_GB2312" w:hint="eastAsia"/>
          <w:bCs/>
          <w:sz w:val="32"/>
          <w:szCs w:val="32"/>
        </w:rPr>
        <w:t>1</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46</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w:t>
      </w:r>
      <w:r>
        <w:rPr>
          <w:rFonts w:ascii="仿宋_GB2312" w:eastAsia="仿宋_GB2312" w:hAnsi="仿宋_GB2312" w:cs="仿宋_GB2312"/>
          <w:bCs/>
          <w:sz w:val="32"/>
          <w:szCs w:val="32"/>
        </w:rPr>
        <w:t>2021</w:t>
      </w:r>
      <w:r>
        <w:rPr>
          <w:rFonts w:ascii="仿宋_GB2312" w:eastAsia="仿宋_GB2312" w:hAnsi="仿宋_GB2312" w:cs="仿宋_GB2312" w:hint="eastAsia"/>
          <w:bCs/>
          <w:sz w:val="32"/>
          <w:szCs w:val="32"/>
        </w:rPr>
        <w:t>年度结转结余总额</w:t>
      </w:r>
      <w:r>
        <w:rPr>
          <w:rFonts w:ascii="仿宋_GB2312" w:eastAsia="仿宋_GB2312" w:hAnsi="宋体" w:cs="宋体"/>
          <w:color w:val="000000"/>
          <w:kern w:val="0"/>
          <w:sz w:val="32"/>
          <w:szCs w:val="32"/>
        </w:rPr>
        <w:t>13</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818.07</w:t>
      </w:r>
      <w:r>
        <w:rPr>
          <w:rFonts w:ascii="仿宋_GB2312" w:eastAsia="仿宋_GB2312" w:hAnsi="仿宋_GB2312" w:cs="仿宋_GB2312" w:hint="eastAsia"/>
          <w:bCs/>
          <w:sz w:val="32"/>
          <w:szCs w:val="32"/>
        </w:rPr>
        <w:t>万元，支出预算数</w:t>
      </w:r>
      <w:r>
        <w:rPr>
          <w:rFonts w:ascii="仿宋_GB2312" w:eastAsia="仿宋_GB2312" w:hAnsi="宋体" w:cs="宋体"/>
          <w:color w:val="000000"/>
          <w:kern w:val="0"/>
          <w:sz w:val="32"/>
          <w:szCs w:val="32"/>
        </w:rPr>
        <w:t>25,728.31</w:t>
      </w:r>
      <w:r>
        <w:rPr>
          <w:rFonts w:ascii="仿宋_GB2312" w:eastAsia="仿宋_GB2312" w:hAnsi="仿宋_GB2312" w:cs="仿宋_GB2312" w:hint="eastAsia"/>
          <w:bCs/>
          <w:sz w:val="32"/>
          <w:szCs w:val="32"/>
        </w:rPr>
        <w:t>万元，结转结余率为</w:t>
      </w:r>
      <w:r>
        <w:rPr>
          <w:rFonts w:ascii="仿宋_GB2312" w:eastAsia="仿宋_GB2312" w:hAnsi="仿宋_GB2312" w:cs="仿宋_GB2312"/>
          <w:bCs/>
          <w:sz w:val="32"/>
          <w:szCs w:val="32"/>
        </w:rPr>
        <w:t>53.71%</w:t>
      </w:r>
      <w:r>
        <w:rPr>
          <w:rFonts w:ascii="仿宋_GB2312" w:eastAsia="仿宋_GB2312" w:hAnsi="仿宋_GB2312" w:cs="仿宋_GB2312" w:hint="eastAsia"/>
          <w:bCs/>
          <w:sz w:val="32"/>
          <w:szCs w:val="32"/>
        </w:rPr>
        <w:t>。2022年结转结余率低于2021年</w:t>
      </w:r>
      <w:r>
        <w:rPr>
          <w:rFonts w:ascii="仿宋_GB2312" w:eastAsia="仿宋_GB2312" w:hAnsi="宋体" w:cs="宋体" w:hint="eastAsia"/>
          <w:color w:val="000000"/>
          <w:kern w:val="0"/>
          <w:sz w:val="32"/>
          <w:szCs w:val="32"/>
        </w:rPr>
        <w:t>。</w:t>
      </w:r>
    </w:p>
    <w:p w:rsidR="00ED315D" w:rsidRDefault="00EE6A88">
      <w:pPr>
        <w:adjustRightInd w:val="0"/>
        <w:snapToGrid w:val="0"/>
        <w:spacing w:line="360" w:lineRule="auto"/>
        <w:ind w:firstLineChars="200" w:firstLine="643"/>
        <w:rPr>
          <w:rFonts w:ascii="仿宋_GB2312" w:eastAsia="仿宋_GB2312" w:hAnsi="仿宋_GB2312" w:cs="仿宋_GB2312"/>
          <w:bCs/>
          <w:sz w:val="32"/>
          <w:szCs w:val="32"/>
        </w:rPr>
      </w:pPr>
      <w:r>
        <w:rPr>
          <w:rFonts w:ascii="仿宋_GB2312" w:eastAsia="仿宋_GB2312" w:hAnsi="仿宋_GB2312" w:cs="仿宋_GB2312" w:hint="eastAsia"/>
          <w:b/>
          <w:bCs/>
          <w:sz w:val="32"/>
          <w:szCs w:val="32"/>
        </w:rPr>
        <w:t>财政预算方面：</w:t>
      </w:r>
      <w:r>
        <w:rPr>
          <w:rFonts w:ascii="仿宋_GB2312" w:eastAsia="仿宋_GB2312" w:hAnsi="仿宋_GB2312" w:cs="仿宋_GB2312" w:hint="eastAsia"/>
          <w:bCs/>
          <w:sz w:val="32"/>
          <w:szCs w:val="32"/>
        </w:rPr>
        <w:t>交</w:t>
      </w:r>
      <w:proofErr w:type="gramStart"/>
      <w:r>
        <w:rPr>
          <w:rFonts w:ascii="仿宋_GB2312" w:eastAsia="仿宋_GB2312" w:hAnsi="仿宋_GB2312" w:cs="仿宋_GB2312" w:hint="eastAsia"/>
          <w:bCs/>
          <w:sz w:val="32"/>
          <w:szCs w:val="32"/>
        </w:rPr>
        <w:t>研</w:t>
      </w:r>
      <w:proofErr w:type="gramEnd"/>
      <w:r>
        <w:rPr>
          <w:rFonts w:ascii="仿宋_GB2312" w:eastAsia="仿宋_GB2312" w:hAnsi="仿宋_GB2312" w:cs="仿宋_GB2312" w:hint="eastAsia"/>
          <w:bCs/>
          <w:sz w:val="32"/>
          <w:szCs w:val="32"/>
        </w:rPr>
        <w:t>院</w:t>
      </w:r>
      <w:r>
        <w:rPr>
          <w:rFonts w:ascii="仿宋_GB2312" w:eastAsia="仿宋_GB2312" w:hAnsi="仿宋_GB2312" w:cs="仿宋_GB2312"/>
          <w:bCs/>
          <w:sz w:val="32"/>
          <w:szCs w:val="32"/>
        </w:rPr>
        <w:t>202</w:t>
      </w:r>
      <w:r>
        <w:rPr>
          <w:rFonts w:ascii="仿宋_GB2312" w:eastAsia="仿宋_GB2312" w:hAnsi="仿宋_GB2312" w:cs="仿宋_GB2312" w:hint="eastAsia"/>
          <w:bCs/>
          <w:sz w:val="32"/>
          <w:szCs w:val="32"/>
        </w:rPr>
        <w:t>2年度结转结余总额</w:t>
      </w:r>
      <w:r>
        <w:rPr>
          <w:rFonts w:ascii="仿宋_GB2312" w:eastAsia="仿宋_GB2312" w:hAnsi="宋体" w:cs="宋体" w:hint="eastAsia"/>
          <w:color w:val="000000"/>
          <w:kern w:val="0"/>
          <w:sz w:val="32"/>
          <w:szCs w:val="32"/>
        </w:rPr>
        <w:t>96.11</w:t>
      </w:r>
      <w:r>
        <w:rPr>
          <w:rFonts w:ascii="仿宋_GB2312" w:eastAsia="仿宋_GB2312" w:hAnsi="仿宋_GB2312" w:cs="仿宋_GB2312" w:hint="eastAsia"/>
          <w:bCs/>
          <w:sz w:val="32"/>
          <w:szCs w:val="32"/>
        </w:rPr>
        <w:t>万元，支出预算数</w:t>
      </w:r>
      <w:r>
        <w:rPr>
          <w:rFonts w:ascii="仿宋_GB2312" w:eastAsia="仿宋_GB2312" w:hAnsi="宋体" w:cs="宋体" w:hint="eastAsia"/>
          <w:color w:val="000000"/>
          <w:kern w:val="0"/>
          <w:sz w:val="32"/>
          <w:szCs w:val="32"/>
        </w:rPr>
        <w:t>6,942.44</w:t>
      </w:r>
      <w:r>
        <w:rPr>
          <w:rFonts w:ascii="仿宋_GB2312" w:eastAsia="仿宋_GB2312" w:hAnsi="仿宋_GB2312" w:cs="仿宋_GB2312" w:hint="eastAsia"/>
          <w:bCs/>
          <w:sz w:val="32"/>
          <w:szCs w:val="32"/>
        </w:rPr>
        <w:t>万元，结转结余率为1</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38</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w:t>
      </w:r>
      <w:r>
        <w:rPr>
          <w:rFonts w:ascii="仿宋_GB2312" w:eastAsia="仿宋_GB2312" w:hAnsi="仿宋_GB2312" w:cs="仿宋_GB2312"/>
          <w:bCs/>
          <w:sz w:val="32"/>
          <w:szCs w:val="32"/>
        </w:rPr>
        <w:t>2021</w:t>
      </w:r>
      <w:r>
        <w:rPr>
          <w:rFonts w:ascii="仿宋_GB2312" w:eastAsia="仿宋_GB2312" w:hAnsi="仿宋_GB2312" w:cs="仿宋_GB2312" w:hint="eastAsia"/>
          <w:bCs/>
          <w:sz w:val="32"/>
          <w:szCs w:val="32"/>
        </w:rPr>
        <w:t>年度结转结余总额</w:t>
      </w:r>
      <w:r>
        <w:rPr>
          <w:rFonts w:ascii="仿宋_GB2312" w:eastAsia="仿宋_GB2312" w:hAnsi="宋体" w:cs="宋体"/>
          <w:color w:val="000000"/>
          <w:kern w:val="0"/>
          <w:sz w:val="32"/>
          <w:szCs w:val="32"/>
        </w:rPr>
        <w:t>1.27</w:t>
      </w:r>
      <w:r>
        <w:rPr>
          <w:rFonts w:ascii="仿宋_GB2312" w:eastAsia="仿宋_GB2312" w:hAnsi="仿宋_GB2312" w:cs="仿宋_GB2312" w:hint="eastAsia"/>
          <w:bCs/>
          <w:sz w:val="32"/>
          <w:szCs w:val="32"/>
        </w:rPr>
        <w:t>万元，支出预算数</w:t>
      </w:r>
      <w:r>
        <w:rPr>
          <w:rFonts w:ascii="仿宋_GB2312" w:eastAsia="仿宋_GB2312" w:hAnsi="宋体" w:cs="宋体"/>
          <w:color w:val="000000"/>
          <w:kern w:val="0"/>
          <w:sz w:val="32"/>
          <w:szCs w:val="32"/>
        </w:rPr>
        <w:t>6,438.71</w:t>
      </w:r>
      <w:r>
        <w:rPr>
          <w:rFonts w:ascii="仿宋_GB2312" w:eastAsia="仿宋_GB2312" w:hAnsi="仿宋_GB2312" w:cs="仿宋_GB2312" w:hint="eastAsia"/>
          <w:bCs/>
          <w:sz w:val="32"/>
          <w:szCs w:val="32"/>
        </w:rPr>
        <w:t>万元，结转结余率为</w:t>
      </w:r>
      <w:r>
        <w:rPr>
          <w:rFonts w:ascii="仿宋_GB2312" w:eastAsia="仿宋_GB2312" w:hAnsi="仿宋_GB2312" w:cs="仿宋_GB2312"/>
          <w:bCs/>
          <w:sz w:val="32"/>
          <w:szCs w:val="32"/>
        </w:rPr>
        <w:t>0.0</w:t>
      </w:r>
      <w:r>
        <w:rPr>
          <w:rFonts w:ascii="仿宋_GB2312" w:eastAsia="仿宋_GB2312" w:hAnsi="仿宋_GB2312" w:cs="仿宋_GB2312" w:hint="eastAsia"/>
          <w:bCs/>
          <w:sz w:val="32"/>
          <w:szCs w:val="32"/>
        </w:rPr>
        <w:t>2</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w:t>
      </w:r>
      <w:r>
        <w:rPr>
          <w:rFonts w:ascii="仿宋_GB2312" w:eastAsia="仿宋_GB2312" w:hAnsi="仿宋_GB2312" w:cs="仿宋_GB2312"/>
          <w:bCs/>
          <w:sz w:val="32"/>
          <w:szCs w:val="32"/>
        </w:rPr>
        <w:t>202</w:t>
      </w:r>
      <w:r>
        <w:rPr>
          <w:rFonts w:ascii="仿宋_GB2312" w:eastAsia="仿宋_GB2312" w:hAnsi="仿宋_GB2312" w:cs="仿宋_GB2312" w:hint="eastAsia"/>
          <w:bCs/>
          <w:sz w:val="32"/>
          <w:szCs w:val="32"/>
        </w:rPr>
        <w:t>2年度结转结余率略高于</w:t>
      </w:r>
      <w:r>
        <w:rPr>
          <w:rFonts w:ascii="仿宋_GB2312" w:eastAsia="仿宋_GB2312" w:hAnsi="仿宋_GB2312" w:cs="仿宋_GB2312"/>
          <w:bCs/>
          <w:sz w:val="32"/>
          <w:szCs w:val="32"/>
        </w:rPr>
        <w:t>202</w:t>
      </w:r>
      <w:r>
        <w:rPr>
          <w:rFonts w:ascii="仿宋_GB2312" w:eastAsia="仿宋_GB2312" w:hAnsi="仿宋_GB2312" w:cs="仿宋_GB2312" w:hint="eastAsia"/>
          <w:bCs/>
          <w:sz w:val="32"/>
          <w:szCs w:val="32"/>
        </w:rPr>
        <w:t>1</w:t>
      </w:r>
      <w:r>
        <w:rPr>
          <w:rFonts w:ascii="仿宋_GB2312" w:eastAsia="仿宋_GB2312" w:hAnsi="仿宋_GB2312" w:cs="仿宋_GB2312"/>
          <w:bCs/>
          <w:sz w:val="32"/>
          <w:szCs w:val="32"/>
        </w:rPr>
        <w:t>年。</w:t>
      </w:r>
    </w:p>
    <w:p w:rsidR="00ED315D" w:rsidRDefault="00EE6A88">
      <w:pPr>
        <w:adjustRightInd w:val="0"/>
        <w:snapToGrid w:val="0"/>
        <w:spacing w:line="360" w:lineRule="auto"/>
        <w:ind w:firstLineChars="200" w:firstLine="640"/>
        <w:outlineLvl w:val="1"/>
        <w:rPr>
          <w:rFonts w:ascii="楷体_GB2312" w:eastAsia="楷体_GB2312"/>
          <w:sz w:val="32"/>
          <w:szCs w:val="32"/>
        </w:rPr>
      </w:pPr>
      <w:r>
        <w:rPr>
          <w:rFonts w:ascii="楷体_GB2312" w:eastAsia="楷体_GB2312" w:hint="eastAsia"/>
          <w:sz w:val="32"/>
          <w:szCs w:val="32"/>
        </w:rPr>
        <w:t>（五）部门预决算差异率</w:t>
      </w:r>
    </w:p>
    <w:p w:rsidR="00ED315D" w:rsidRDefault="00EE6A88">
      <w:pPr>
        <w:adjustRightInd w:val="0"/>
        <w:snapToGrid w:val="0"/>
        <w:spacing w:line="360" w:lineRule="auto"/>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年度总预算方面：</w:t>
      </w:r>
      <w:r>
        <w:rPr>
          <w:rFonts w:ascii="仿宋_GB2312" w:eastAsia="仿宋_GB2312" w:hAnsi="仿宋_GB2312" w:cs="仿宋_GB2312"/>
          <w:bCs/>
          <w:sz w:val="32"/>
          <w:szCs w:val="32"/>
        </w:rPr>
        <w:t>202</w:t>
      </w:r>
      <w:r>
        <w:rPr>
          <w:rFonts w:ascii="仿宋_GB2312" w:eastAsia="仿宋_GB2312" w:hAnsi="仿宋_GB2312" w:cs="仿宋_GB2312" w:hint="eastAsia"/>
          <w:bCs/>
          <w:sz w:val="32"/>
          <w:szCs w:val="32"/>
        </w:rPr>
        <w:t>2年度部门决算数</w:t>
      </w:r>
      <w:r>
        <w:rPr>
          <w:rFonts w:ascii="仿宋_GB2312" w:eastAsia="仿宋_GB2312" w:hAnsi="仿宋_GB2312" w:cs="仿宋_GB2312"/>
          <w:bCs/>
          <w:sz w:val="32"/>
          <w:szCs w:val="32"/>
        </w:rPr>
        <w:t>2</w:t>
      </w:r>
      <w:r>
        <w:rPr>
          <w:rFonts w:ascii="仿宋_GB2312" w:eastAsia="仿宋_GB2312" w:hAnsi="仿宋_GB2312" w:cs="仿宋_GB2312" w:hint="eastAsia"/>
          <w:bCs/>
          <w:sz w:val="32"/>
          <w:szCs w:val="32"/>
        </w:rPr>
        <w:t>6</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246</w:t>
      </w:r>
      <w:r>
        <w:rPr>
          <w:rFonts w:ascii="仿宋_GB2312" w:eastAsia="仿宋_GB2312" w:hAnsi="仿宋_GB2312" w:cs="仿宋_GB2312"/>
          <w:bCs/>
          <w:sz w:val="32"/>
          <w:szCs w:val="32"/>
        </w:rPr>
        <w:t>.31</w:t>
      </w:r>
      <w:r>
        <w:rPr>
          <w:rFonts w:ascii="仿宋_GB2312" w:eastAsia="仿宋_GB2312" w:hAnsi="仿宋_GB2312" w:cs="仿宋_GB2312" w:hint="eastAsia"/>
          <w:bCs/>
          <w:sz w:val="32"/>
          <w:szCs w:val="32"/>
        </w:rPr>
        <w:t>万元，与年初部门预算数</w:t>
      </w:r>
      <w:r>
        <w:rPr>
          <w:rFonts w:ascii="仿宋_GB2312" w:eastAsia="仿宋_GB2312" w:hAnsi="仿宋_GB2312" w:cs="仿宋_GB2312"/>
          <w:bCs/>
          <w:sz w:val="32"/>
          <w:szCs w:val="32"/>
        </w:rPr>
        <w:t>1</w:t>
      </w:r>
      <w:r>
        <w:rPr>
          <w:rFonts w:ascii="仿宋_GB2312" w:eastAsia="仿宋_GB2312" w:hAnsi="仿宋_GB2312" w:cs="仿宋_GB2312" w:hint="eastAsia"/>
          <w:bCs/>
          <w:sz w:val="32"/>
          <w:szCs w:val="32"/>
        </w:rPr>
        <w:t>8</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029</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8</w:t>
      </w:r>
      <w:r>
        <w:rPr>
          <w:rFonts w:ascii="仿宋_GB2312" w:eastAsia="仿宋_GB2312" w:hAnsi="仿宋_GB2312" w:cs="仿宋_GB2312"/>
          <w:bCs/>
          <w:sz w:val="32"/>
          <w:szCs w:val="32"/>
        </w:rPr>
        <w:t>5</w:t>
      </w:r>
      <w:r>
        <w:rPr>
          <w:rFonts w:ascii="仿宋_GB2312" w:eastAsia="仿宋_GB2312" w:hAnsi="仿宋_GB2312" w:cs="仿宋_GB2312" w:hint="eastAsia"/>
          <w:bCs/>
          <w:sz w:val="32"/>
          <w:szCs w:val="32"/>
        </w:rPr>
        <w:t>万元对比，部门预决算差异率为45</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57</w:t>
      </w:r>
      <w:r>
        <w:rPr>
          <w:rFonts w:ascii="仿宋_GB2312" w:eastAsia="仿宋_GB2312" w:hAnsi="仿宋_GB2312" w:cs="仿宋_GB2312"/>
          <w:bCs/>
          <w:sz w:val="32"/>
          <w:szCs w:val="32"/>
        </w:rPr>
        <w:t>%</w:t>
      </w:r>
      <w:r>
        <w:rPr>
          <w:rFonts w:ascii="仿宋_GB2312" w:eastAsia="仿宋_GB2312" w:hAnsi="仿宋_GB2312" w:cs="仿宋_GB2312" w:hint="eastAsia"/>
          <w:bCs/>
          <w:sz w:val="32"/>
          <w:szCs w:val="32"/>
        </w:rPr>
        <w:t>，主要原因是决算编报时将单位以前年度非财政拨款结转结余纳入决算的年初结转结余。</w:t>
      </w:r>
    </w:p>
    <w:p w:rsidR="00ED315D" w:rsidRDefault="00EE6A88">
      <w:pPr>
        <w:adjustRightInd w:val="0"/>
        <w:snapToGrid w:val="0"/>
        <w:spacing w:line="360" w:lineRule="auto"/>
        <w:ind w:firstLineChars="200" w:firstLine="643"/>
        <w:rPr>
          <w:rFonts w:ascii="仿宋_GB2312" w:eastAsia="仿宋_GB2312" w:hAnsi="仿宋_GB2312" w:cs="仿宋_GB2312"/>
          <w:bCs/>
          <w:sz w:val="32"/>
          <w:szCs w:val="32"/>
          <w:highlight w:val="yellow"/>
        </w:rPr>
      </w:pPr>
      <w:r>
        <w:rPr>
          <w:rFonts w:ascii="仿宋_GB2312" w:eastAsia="仿宋_GB2312" w:hAnsi="仿宋_GB2312" w:cs="仿宋_GB2312" w:hint="eastAsia"/>
          <w:b/>
          <w:bCs/>
          <w:sz w:val="32"/>
          <w:szCs w:val="32"/>
        </w:rPr>
        <w:t>财政预算方面：</w:t>
      </w:r>
      <w:r>
        <w:rPr>
          <w:rFonts w:ascii="仿宋_GB2312" w:eastAsia="仿宋_GB2312" w:hAnsi="仿宋_GB2312" w:cs="仿宋_GB2312"/>
          <w:bCs/>
          <w:sz w:val="32"/>
          <w:szCs w:val="32"/>
        </w:rPr>
        <w:t>202</w:t>
      </w:r>
      <w:r>
        <w:rPr>
          <w:rFonts w:ascii="仿宋_GB2312" w:eastAsia="仿宋_GB2312" w:hAnsi="仿宋_GB2312" w:cs="仿宋_GB2312" w:hint="eastAsia"/>
          <w:bCs/>
          <w:sz w:val="32"/>
          <w:szCs w:val="32"/>
        </w:rPr>
        <w:t>2年度部门决算数6942.44万元，与年初部门预算数6,812.62万元对比，部门预决算差异率为1.91%。</w:t>
      </w:r>
    </w:p>
    <w:p w:rsidR="00ED315D" w:rsidRDefault="00EE6A88">
      <w:pPr>
        <w:adjustRightInd w:val="0"/>
        <w:snapToGrid w:val="0"/>
        <w:spacing w:line="360" w:lineRule="auto"/>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五、总体</w:t>
      </w:r>
      <w:r>
        <w:rPr>
          <w:rFonts w:ascii="黑体" w:eastAsia="黑体" w:hAnsi="黑体" w:cs="宋体"/>
          <w:color w:val="000000"/>
          <w:kern w:val="0"/>
          <w:sz w:val="32"/>
          <w:szCs w:val="32"/>
        </w:rPr>
        <w:t>评价结论</w:t>
      </w:r>
    </w:p>
    <w:p w:rsidR="00ED315D" w:rsidRDefault="00EE6A88">
      <w:pPr>
        <w:adjustRightInd w:val="0"/>
        <w:snapToGrid w:val="0"/>
        <w:spacing w:line="360" w:lineRule="auto"/>
        <w:ind w:firstLineChars="200" w:firstLine="640"/>
        <w:outlineLvl w:val="1"/>
        <w:rPr>
          <w:rFonts w:ascii="楷体_GB2312" w:eastAsia="楷体_GB2312"/>
          <w:sz w:val="32"/>
          <w:szCs w:val="32"/>
        </w:rPr>
      </w:pPr>
      <w:r>
        <w:rPr>
          <w:rFonts w:ascii="楷体_GB2312" w:eastAsia="楷体_GB2312" w:hint="eastAsia"/>
          <w:sz w:val="32"/>
          <w:szCs w:val="32"/>
        </w:rPr>
        <w:lastRenderedPageBreak/>
        <w:t>（一）评价</w:t>
      </w:r>
      <w:r>
        <w:rPr>
          <w:rFonts w:ascii="楷体_GB2312" w:eastAsia="楷体_GB2312"/>
          <w:sz w:val="32"/>
          <w:szCs w:val="32"/>
        </w:rPr>
        <w:t>得分</w:t>
      </w:r>
      <w:r>
        <w:rPr>
          <w:rFonts w:ascii="楷体_GB2312" w:eastAsia="楷体_GB2312" w:hint="eastAsia"/>
          <w:sz w:val="32"/>
          <w:szCs w:val="32"/>
        </w:rPr>
        <w:t>情况</w:t>
      </w:r>
    </w:p>
    <w:p w:rsidR="00ED315D" w:rsidRDefault="00EE6A88">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2022年，交</w:t>
      </w:r>
      <w:proofErr w:type="gramStart"/>
      <w:r>
        <w:rPr>
          <w:rFonts w:ascii="仿宋_GB2312" w:eastAsia="仿宋_GB2312" w:hAnsi="仿宋_GB2312" w:cs="仿宋_GB2312" w:hint="eastAsia"/>
          <w:sz w:val="32"/>
          <w:szCs w:val="32"/>
        </w:rPr>
        <w:t>研</w:t>
      </w:r>
      <w:proofErr w:type="gramEnd"/>
      <w:r>
        <w:rPr>
          <w:rFonts w:ascii="仿宋_GB2312" w:eastAsia="仿宋_GB2312" w:hAnsi="仿宋_GB2312" w:cs="仿宋_GB2312" w:hint="eastAsia"/>
          <w:sz w:val="32"/>
          <w:szCs w:val="32"/>
        </w:rPr>
        <w:t>院通过开展</w:t>
      </w:r>
      <w:r>
        <w:rPr>
          <w:rFonts w:ascii="仿宋_GB2312" w:eastAsia="仿宋_GB2312" w:hAnsi="宋体" w:cs="宋体" w:hint="eastAsia"/>
          <w:color w:val="000000"/>
          <w:kern w:val="0"/>
          <w:sz w:val="32"/>
          <w:szCs w:val="32"/>
        </w:rPr>
        <w:t>交通缓堵措施研究、交通战略研究、智能交通建设、交通综合调查、交通技术研发、节能减排、轨道交通运营服务研究、保障部门日常运转等方面的工作，</w:t>
      </w:r>
      <w:r>
        <w:rPr>
          <w:rFonts w:ascii="仿宋_GB2312" w:eastAsia="仿宋_GB2312" w:hint="eastAsia"/>
          <w:sz w:val="32"/>
          <w:szCs w:val="32"/>
        </w:rPr>
        <w:t>集中全市研究力量，整合各方面智力资源，系统地研究交通问题</w:t>
      </w:r>
      <w:r>
        <w:rPr>
          <w:rFonts w:ascii="仿宋_GB2312" w:eastAsia="仿宋_GB2312" w:hAnsi="宋体" w:cs="宋体" w:hint="eastAsia"/>
          <w:color w:val="000000"/>
          <w:kern w:val="0"/>
          <w:sz w:val="32"/>
          <w:szCs w:val="32"/>
        </w:rPr>
        <w:t>，</w:t>
      </w:r>
      <w:r>
        <w:rPr>
          <w:rFonts w:ascii="仿宋_GB2312" w:eastAsia="仿宋_GB2312" w:hint="eastAsia"/>
          <w:sz w:val="32"/>
          <w:szCs w:val="32"/>
        </w:rPr>
        <w:t>在城市交通发展的重大问题上为市政府决策提供依据等起到了积极作用，部门整体履职情况较好。但在部门整体绩效目标设置、过程管理、成效整理分析等方面尚有进步空间。经综合评价，</w:t>
      </w:r>
      <w:r>
        <w:rPr>
          <w:rFonts w:ascii="仿宋_GB2312" w:eastAsia="仿宋_GB2312" w:hAnsi="仿宋_GB2312" w:cs="仿宋_GB2312" w:hint="eastAsia"/>
          <w:sz w:val="32"/>
          <w:szCs w:val="32"/>
        </w:rPr>
        <w:t>交</w:t>
      </w:r>
      <w:proofErr w:type="gramStart"/>
      <w:r>
        <w:rPr>
          <w:rFonts w:ascii="仿宋_GB2312" w:eastAsia="仿宋_GB2312" w:hAnsi="仿宋_GB2312" w:cs="仿宋_GB2312" w:hint="eastAsia"/>
          <w:sz w:val="32"/>
          <w:szCs w:val="32"/>
        </w:rPr>
        <w:t>研</w:t>
      </w:r>
      <w:proofErr w:type="gramEnd"/>
      <w:r>
        <w:rPr>
          <w:rFonts w:ascii="仿宋_GB2312" w:eastAsia="仿宋_GB2312" w:hAnsi="仿宋_GB2312" w:cs="仿宋_GB2312" w:hint="eastAsia"/>
          <w:sz w:val="32"/>
          <w:szCs w:val="32"/>
        </w:rPr>
        <w:t>院2</w:t>
      </w:r>
      <w:r>
        <w:rPr>
          <w:rFonts w:ascii="仿宋_GB2312" w:eastAsia="仿宋_GB2312" w:hAnsi="仿宋_GB2312" w:cs="仿宋_GB2312"/>
          <w:sz w:val="32"/>
          <w:szCs w:val="32"/>
        </w:rPr>
        <w:t>02</w:t>
      </w:r>
      <w:r>
        <w:rPr>
          <w:rFonts w:ascii="仿宋_GB2312" w:eastAsia="仿宋_GB2312" w:hAnsi="仿宋_GB2312" w:cs="仿宋_GB2312" w:hint="eastAsia"/>
          <w:sz w:val="32"/>
          <w:szCs w:val="32"/>
        </w:rPr>
        <w:t>2年部门绩效自评总分</w:t>
      </w:r>
      <w:r>
        <w:rPr>
          <w:rFonts w:ascii="仿宋_GB2312" w:eastAsia="仿宋_GB2312" w:hAnsi="仿宋_GB2312" w:cs="仿宋_GB2312" w:hint="eastAsia"/>
          <w:b/>
          <w:sz w:val="32"/>
          <w:szCs w:val="32"/>
        </w:rPr>
        <w:t>90.70分</w:t>
      </w:r>
      <w:r>
        <w:rPr>
          <w:rFonts w:ascii="仿宋_GB2312" w:eastAsia="仿宋_GB2312" w:hAnsi="仿宋_GB2312" w:cs="仿宋_GB2312" w:hint="eastAsia"/>
          <w:sz w:val="32"/>
          <w:szCs w:val="32"/>
        </w:rPr>
        <w:t>，评价等级为“</w:t>
      </w:r>
      <w:r>
        <w:rPr>
          <w:rFonts w:ascii="仿宋_GB2312" w:eastAsia="仿宋_GB2312" w:hAnsi="仿宋_GB2312" w:cs="仿宋_GB2312" w:hint="eastAsia"/>
          <w:b/>
          <w:sz w:val="32"/>
          <w:szCs w:val="32"/>
        </w:rPr>
        <w:t>优</w:t>
      </w:r>
      <w:r>
        <w:rPr>
          <w:rFonts w:ascii="仿宋_GB2312" w:eastAsia="仿宋_GB2312" w:hAnsi="仿宋_GB2312" w:cs="仿宋_GB2312" w:hint="eastAsia"/>
          <w:sz w:val="32"/>
          <w:szCs w:val="32"/>
        </w:rPr>
        <w:t>”。</w:t>
      </w:r>
    </w:p>
    <w:p w:rsidR="00ED315D" w:rsidRDefault="00EE6A88">
      <w:pPr>
        <w:adjustRightInd w:val="0"/>
        <w:snapToGrid w:val="0"/>
        <w:spacing w:line="360" w:lineRule="auto"/>
        <w:ind w:firstLineChars="200" w:firstLine="640"/>
        <w:outlineLvl w:val="1"/>
        <w:rPr>
          <w:rFonts w:ascii="楷体_GB2312" w:eastAsia="楷体_GB2312"/>
          <w:sz w:val="32"/>
          <w:szCs w:val="32"/>
          <w:highlight w:val="yellow"/>
        </w:rPr>
      </w:pPr>
      <w:r>
        <w:rPr>
          <w:rFonts w:ascii="楷体_GB2312" w:eastAsia="楷体_GB2312" w:hint="eastAsia"/>
          <w:sz w:val="32"/>
          <w:szCs w:val="32"/>
        </w:rPr>
        <w:t>（二）存在的问题及原因分析</w:t>
      </w:r>
    </w:p>
    <w:p w:rsidR="00ED315D" w:rsidRDefault="00EE6A88">
      <w:pPr>
        <w:adjustRightInd w:val="0"/>
        <w:snapToGrid w:val="0"/>
        <w:spacing w:line="360" w:lineRule="auto"/>
        <w:ind w:firstLineChars="200" w:firstLine="643"/>
        <w:outlineLvl w:val="2"/>
        <w:rPr>
          <w:rFonts w:ascii="仿宋_GB2312" w:eastAsia="仿宋_GB2312" w:hAnsi="Arial" w:cs="Arial"/>
          <w:b/>
          <w:sz w:val="32"/>
          <w:szCs w:val="32"/>
          <w:highlight w:val="yellow"/>
          <w:shd w:val="clear" w:color="auto" w:fill="FFFFFF"/>
        </w:rPr>
      </w:pPr>
      <w:r>
        <w:rPr>
          <w:rFonts w:ascii="仿宋_GB2312" w:eastAsia="仿宋_GB2312" w:hAnsi="Arial" w:cs="Arial"/>
          <w:b/>
          <w:sz w:val="32"/>
          <w:szCs w:val="32"/>
          <w:shd w:val="clear" w:color="auto" w:fill="FFFFFF"/>
        </w:rPr>
        <w:t>1.</w:t>
      </w:r>
      <w:r>
        <w:rPr>
          <w:rFonts w:ascii="仿宋_GB2312" w:eastAsia="仿宋_GB2312" w:hAnsi="Arial" w:cs="Arial" w:hint="eastAsia"/>
          <w:b/>
          <w:sz w:val="32"/>
          <w:szCs w:val="32"/>
          <w:shd w:val="clear" w:color="auto" w:fill="FFFFFF"/>
        </w:rPr>
        <w:t>部门整体发展规划性不足，绩效目标设置全面性有待加强</w:t>
      </w:r>
    </w:p>
    <w:p w:rsidR="00ED315D" w:rsidRDefault="00EE6A88">
      <w:pPr>
        <w:adjustRightInd w:val="0"/>
        <w:snapToGrid w:val="0"/>
        <w:spacing w:line="360" w:lineRule="auto"/>
        <w:ind w:firstLineChars="200" w:firstLine="640"/>
        <w:rPr>
          <w:rFonts w:ascii="仿宋_GB2312" w:eastAsia="仿宋_GB2312" w:hAnsi="宋体" w:cs="宋体"/>
          <w:color w:val="000000"/>
          <w:kern w:val="0"/>
          <w:sz w:val="32"/>
          <w:szCs w:val="32"/>
        </w:rPr>
      </w:pPr>
      <w:bookmarkStart w:id="4" w:name="_Toc425505304"/>
      <w:bookmarkStart w:id="5" w:name="_Toc425494658"/>
      <w:r>
        <w:rPr>
          <w:rFonts w:ascii="仿宋_GB2312" w:eastAsia="仿宋_GB2312" w:hAnsi="仿宋_GB2312" w:cs="仿宋_GB2312" w:hint="eastAsia"/>
          <w:color w:val="000000"/>
          <w:kern w:val="0"/>
          <w:sz w:val="32"/>
          <w:szCs w:val="32"/>
        </w:rPr>
        <w:t>交</w:t>
      </w:r>
      <w:proofErr w:type="gramStart"/>
      <w:r>
        <w:rPr>
          <w:rFonts w:ascii="仿宋_GB2312" w:eastAsia="仿宋_GB2312" w:hAnsi="仿宋_GB2312" w:cs="仿宋_GB2312" w:hint="eastAsia"/>
          <w:color w:val="000000"/>
          <w:kern w:val="0"/>
          <w:sz w:val="32"/>
          <w:szCs w:val="32"/>
        </w:rPr>
        <w:t>研</w:t>
      </w:r>
      <w:proofErr w:type="gramEnd"/>
      <w:r>
        <w:rPr>
          <w:rFonts w:ascii="仿宋_GB2312" w:eastAsia="仿宋_GB2312" w:hAnsi="仿宋_GB2312" w:cs="仿宋_GB2312" w:hint="eastAsia"/>
          <w:color w:val="000000"/>
          <w:kern w:val="0"/>
          <w:sz w:val="32"/>
          <w:szCs w:val="32"/>
        </w:rPr>
        <w:t>院整体发展计划性有待加强；</w:t>
      </w:r>
      <w:bookmarkEnd w:id="4"/>
      <w:bookmarkEnd w:id="5"/>
      <w:r w:rsidR="00635550">
        <w:rPr>
          <w:rFonts w:ascii="仿宋_GB2312" w:eastAsia="仿宋_GB2312" w:hAnsi="宋体" w:cs="宋体" w:hint="eastAsia"/>
          <w:color w:val="000000"/>
          <w:kern w:val="0"/>
          <w:sz w:val="32"/>
          <w:szCs w:val="32"/>
        </w:rPr>
        <w:t>个别项目</w:t>
      </w:r>
      <w:r>
        <w:rPr>
          <w:rFonts w:ascii="仿宋_GB2312" w:eastAsia="仿宋_GB2312" w:hAnsi="宋体" w:cs="宋体" w:hint="eastAsia"/>
          <w:color w:val="000000"/>
          <w:kern w:val="0"/>
          <w:sz w:val="32"/>
          <w:szCs w:val="32"/>
        </w:rPr>
        <w:t>绩效指标设置不够规范，与绩效目标对应性不强，缺少产出进度、效益、满意度等情况。</w:t>
      </w:r>
    </w:p>
    <w:p w:rsidR="00ED315D" w:rsidRDefault="00EE6A88">
      <w:pPr>
        <w:widowControl/>
        <w:adjustRightInd w:val="0"/>
        <w:snapToGrid w:val="0"/>
        <w:spacing w:line="360" w:lineRule="auto"/>
        <w:ind w:firstLineChars="200" w:firstLine="643"/>
        <w:jc w:val="left"/>
        <w:rPr>
          <w:sz w:val="32"/>
          <w:szCs w:val="32"/>
        </w:rPr>
      </w:pPr>
      <w:r>
        <w:rPr>
          <w:rFonts w:ascii="仿宋_GB2312" w:eastAsia="仿宋_GB2312" w:hAnsi="宋体" w:cs="仿宋_GB2312" w:hint="eastAsia"/>
          <w:b/>
          <w:bCs/>
          <w:color w:val="000000"/>
          <w:kern w:val="0"/>
          <w:sz w:val="32"/>
          <w:szCs w:val="32"/>
        </w:rPr>
        <w:t>2.</w:t>
      </w:r>
      <w:r>
        <w:rPr>
          <w:rFonts w:ascii="仿宋_GB2312" w:eastAsia="仿宋_GB2312" w:hAnsi="宋体" w:cs="仿宋_GB2312"/>
          <w:b/>
          <w:bCs/>
          <w:color w:val="000000"/>
          <w:kern w:val="0"/>
          <w:sz w:val="32"/>
          <w:szCs w:val="32"/>
        </w:rPr>
        <w:t>年度工作实施过程管理存在不足，个别内容未能按计划完</w:t>
      </w:r>
      <w:r>
        <w:rPr>
          <w:rFonts w:ascii="仿宋_GB2312" w:eastAsia="仿宋_GB2312" w:hAnsi="宋体" w:cs="仿宋_GB2312" w:hint="eastAsia"/>
          <w:b/>
          <w:bCs/>
          <w:color w:val="000000"/>
          <w:kern w:val="0"/>
          <w:sz w:val="32"/>
          <w:szCs w:val="32"/>
        </w:rPr>
        <w:t xml:space="preserve">成 </w:t>
      </w:r>
    </w:p>
    <w:p w:rsidR="00ED315D" w:rsidRDefault="00EE6A88">
      <w:pPr>
        <w:widowControl/>
        <w:adjustRightInd w:val="0"/>
        <w:snapToGrid w:val="0"/>
        <w:spacing w:line="360" w:lineRule="auto"/>
        <w:ind w:firstLineChars="200" w:firstLine="640"/>
        <w:rPr>
          <w:sz w:val="32"/>
          <w:szCs w:val="32"/>
        </w:rPr>
      </w:pPr>
      <w:r>
        <w:rPr>
          <w:rFonts w:ascii="仿宋_GB2312" w:eastAsia="仿宋_GB2312" w:hAnsi="宋体" w:cs="仿宋_GB2312" w:hint="eastAsia"/>
          <w:color w:val="000000"/>
          <w:kern w:val="0"/>
          <w:sz w:val="32"/>
          <w:szCs w:val="32"/>
        </w:rPr>
        <w:t>2022 年度交</w:t>
      </w:r>
      <w:proofErr w:type="gramStart"/>
      <w:r>
        <w:rPr>
          <w:rFonts w:ascii="仿宋_GB2312" w:eastAsia="仿宋_GB2312" w:hAnsi="宋体" w:cs="仿宋_GB2312" w:hint="eastAsia"/>
          <w:color w:val="000000"/>
          <w:kern w:val="0"/>
          <w:sz w:val="32"/>
          <w:szCs w:val="32"/>
        </w:rPr>
        <w:t>研</w:t>
      </w:r>
      <w:proofErr w:type="gramEnd"/>
      <w:r>
        <w:rPr>
          <w:rFonts w:ascii="仿宋_GB2312" w:eastAsia="仿宋_GB2312" w:hAnsi="宋体" w:cs="仿宋_GB2312" w:hint="eastAsia"/>
          <w:color w:val="000000"/>
          <w:kern w:val="0"/>
          <w:sz w:val="32"/>
          <w:szCs w:val="32"/>
        </w:rPr>
        <w:t>院年度工作实施过程</w:t>
      </w:r>
      <w:proofErr w:type="gramStart"/>
      <w:r>
        <w:rPr>
          <w:rFonts w:ascii="仿宋_GB2312" w:eastAsia="仿宋_GB2312" w:hAnsi="宋体" w:cs="仿宋_GB2312" w:hint="eastAsia"/>
          <w:color w:val="000000"/>
          <w:kern w:val="0"/>
          <w:sz w:val="32"/>
          <w:szCs w:val="32"/>
        </w:rPr>
        <w:t>中</w:t>
      </w:r>
      <w:r w:rsidR="00635550">
        <w:rPr>
          <w:rFonts w:ascii="仿宋_GB2312" w:eastAsia="仿宋_GB2312" w:hAnsi="宋体" w:cs="仿宋_GB2312" w:hint="eastAsia"/>
          <w:color w:val="000000"/>
          <w:kern w:val="0"/>
          <w:sz w:val="32"/>
          <w:szCs w:val="32"/>
        </w:rPr>
        <w:t>项目</w:t>
      </w:r>
      <w:proofErr w:type="gramEnd"/>
      <w:r>
        <w:rPr>
          <w:rFonts w:ascii="仿宋_GB2312" w:eastAsia="仿宋_GB2312" w:hAnsi="宋体" w:cs="仿宋_GB2312" w:hint="eastAsia"/>
          <w:color w:val="000000"/>
          <w:kern w:val="0"/>
          <w:sz w:val="32"/>
          <w:szCs w:val="32"/>
        </w:rPr>
        <w:t>执行管理有待加强。个别项目内容因疫情原因未能按计划数量、时间完成，如，</w:t>
      </w:r>
      <w:r>
        <w:rPr>
          <w:rFonts w:ascii="仿宋_GB2312" w:eastAsia="仿宋_GB2312" w:hAnsi="宋体" w:cs="宋体" w:hint="eastAsia"/>
          <w:color w:val="000000"/>
          <w:kern w:val="0"/>
          <w:sz w:val="32"/>
          <w:szCs w:val="32"/>
        </w:rPr>
        <w:t>博士后工作站运行费项目中计划调研10天，实际开展调研9天；认证及其他费用项目中计划开展3次中国城</w:t>
      </w:r>
      <w:r>
        <w:rPr>
          <w:rFonts w:ascii="仿宋_GB2312" w:eastAsia="仿宋_GB2312" w:hAnsi="宋体" w:cs="宋体" w:hint="eastAsia"/>
          <w:color w:val="000000"/>
          <w:kern w:val="0"/>
          <w:sz w:val="32"/>
          <w:szCs w:val="32"/>
        </w:rPr>
        <w:lastRenderedPageBreak/>
        <w:t>市交通发展论坛</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实际开展了1次中国城市交通发展论坛，均由于疫情原因未能按照计划完成。</w:t>
      </w:r>
      <w:r>
        <w:rPr>
          <w:rFonts w:ascii="仿宋_GB2312" w:eastAsia="仿宋_GB2312" w:hint="eastAsia"/>
          <w:color w:val="000000"/>
          <w:sz w:val="32"/>
          <w:szCs w:val="32"/>
        </w:rPr>
        <w:t>多模式出行行为特征与交通运行监测评估关键技术研究的委托业务单位遴选、采购完成时间较计划时间有所滞后；公交线网动态优化调整与评估研究项目结题时间比预期时间有所滞后等。</w:t>
      </w:r>
    </w:p>
    <w:p w:rsidR="00ED315D" w:rsidRDefault="00EE6A88">
      <w:pPr>
        <w:adjustRightInd w:val="0"/>
        <w:snapToGrid w:val="0"/>
        <w:spacing w:line="360" w:lineRule="auto"/>
        <w:ind w:firstLineChars="200" w:firstLine="643"/>
        <w:outlineLvl w:val="2"/>
        <w:rPr>
          <w:rFonts w:ascii="仿宋_GB2312" w:eastAsia="仿宋_GB2312" w:hAnsi="Arial" w:cs="Arial"/>
          <w:b/>
          <w:sz w:val="32"/>
          <w:szCs w:val="32"/>
          <w:shd w:val="clear" w:color="auto" w:fill="FFFFFF"/>
        </w:rPr>
      </w:pPr>
      <w:r>
        <w:rPr>
          <w:rFonts w:ascii="仿宋_GB2312" w:eastAsia="仿宋_GB2312" w:hAnsi="Arial" w:cs="Arial"/>
          <w:b/>
          <w:sz w:val="32"/>
          <w:szCs w:val="32"/>
          <w:shd w:val="clear" w:color="auto" w:fill="FFFFFF"/>
        </w:rPr>
        <w:t>3.</w:t>
      </w:r>
      <w:r>
        <w:rPr>
          <w:rFonts w:ascii="仿宋_GB2312" w:eastAsia="仿宋_GB2312" w:hAnsi="Arial" w:cs="Arial" w:hint="eastAsia"/>
          <w:b/>
          <w:sz w:val="32"/>
          <w:szCs w:val="32"/>
          <w:shd w:val="clear" w:color="auto" w:fill="FFFFFF"/>
        </w:rPr>
        <w:t>各部门项目支出绩效管理意识仍需提高，项目成效资料整理分析不足</w:t>
      </w:r>
    </w:p>
    <w:p w:rsidR="00ED315D" w:rsidRDefault="00EE6A88">
      <w:pPr>
        <w:adjustRightInd w:val="0"/>
        <w:snapToGrid w:val="0"/>
        <w:spacing w:line="360" w:lineRule="auto"/>
        <w:ind w:firstLineChars="200" w:firstLine="640"/>
        <w:rPr>
          <w:rFonts w:ascii="仿宋_GB2312" w:eastAsia="仿宋_GB2312" w:hAnsi="Arial" w:cs="Arial"/>
          <w:sz w:val="32"/>
          <w:szCs w:val="32"/>
          <w:highlight w:val="yellow"/>
          <w:shd w:val="clear" w:color="auto" w:fill="FFFFFF"/>
        </w:rPr>
      </w:pPr>
      <w:r>
        <w:rPr>
          <w:rFonts w:ascii="仿宋_GB2312" w:eastAsia="仿宋_GB2312" w:hAnsi="Arial" w:cs="Arial" w:hint="eastAsia"/>
          <w:sz w:val="32"/>
          <w:szCs w:val="32"/>
          <w:shd w:val="clear" w:color="auto" w:fill="FFFFFF"/>
        </w:rPr>
        <w:t>根据各部门提交的项目相关资料，项目产出成果较清晰，资料充分，部分项目收集了主要服务对象的应用证明等效益资料，项目实施的效益体现较好。但各部门绩效管理意识仍要继续提高，成果运用效果、满意度调查等资料系统收集、整理、总结分析的意识不足，绩效资料归集力度尚需提升</w:t>
      </w:r>
      <w:r>
        <w:rPr>
          <w:rFonts w:ascii="仿宋_GB2312" w:eastAsia="仿宋_GB2312" w:hAnsi="宋体" w:cs="仿宋_GB2312" w:hint="eastAsia"/>
          <w:color w:val="000000"/>
          <w:kern w:val="0"/>
          <w:sz w:val="32"/>
          <w:szCs w:val="32"/>
        </w:rPr>
        <w:t>。</w:t>
      </w:r>
    </w:p>
    <w:p w:rsidR="00ED315D" w:rsidRDefault="00EE6A88">
      <w:pPr>
        <w:adjustRightInd w:val="0"/>
        <w:snapToGrid w:val="0"/>
        <w:spacing w:line="360" w:lineRule="auto"/>
        <w:ind w:firstLineChars="200" w:firstLine="640"/>
        <w:outlineLvl w:val="0"/>
        <w:rPr>
          <w:rFonts w:ascii="黑体" w:eastAsia="黑体" w:hAnsi="黑体" w:cs="宋体"/>
          <w:color w:val="000000"/>
          <w:kern w:val="0"/>
          <w:sz w:val="32"/>
          <w:szCs w:val="32"/>
        </w:rPr>
      </w:pPr>
      <w:r>
        <w:rPr>
          <w:rFonts w:ascii="黑体" w:eastAsia="黑体" w:hAnsi="黑体" w:cs="宋体" w:hint="eastAsia"/>
          <w:color w:val="000000"/>
          <w:kern w:val="0"/>
          <w:sz w:val="32"/>
          <w:szCs w:val="32"/>
        </w:rPr>
        <w:t>六、措施建议</w:t>
      </w:r>
    </w:p>
    <w:p w:rsidR="00ED315D" w:rsidRDefault="00EE6A88">
      <w:pPr>
        <w:adjustRightInd w:val="0"/>
        <w:snapToGrid w:val="0"/>
        <w:spacing w:line="360" w:lineRule="auto"/>
        <w:ind w:firstLineChars="200" w:firstLine="640"/>
        <w:rPr>
          <w:rFonts w:ascii="楷体_GB2312" w:eastAsia="楷体_GB2312"/>
          <w:sz w:val="32"/>
          <w:szCs w:val="32"/>
        </w:rPr>
      </w:pPr>
      <w:r>
        <w:rPr>
          <w:rFonts w:ascii="楷体_GB2312" w:eastAsia="楷体_GB2312" w:hint="eastAsia"/>
          <w:sz w:val="32"/>
          <w:szCs w:val="32"/>
        </w:rPr>
        <w:t>（一）加强部门整体发展规划，规范设置绩效目标</w:t>
      </w:r>
    </w:p>
    <w:p w:rsidR="00ED315D" w:rsidRDefault="00EE6A88">
      <w:pPr>
        <w:adjustRightInd w:val="0"/>
        <w:snapToGrid w:val="0"/>
        <w:spacing w:line="360" w:lineRule="auto"/>
        <w:ind w:firstLineChars="200" w:firstLine="640"/>
        <w:rPr>
          <w:rFonts w:ascii="仿宋_GB2312" w:eastAsia="仿宋_GB2312" w:hAnsi="宋体" w:cs="宋体"/>
          <w:color w:val="000000"/>
          <w:kern w:val="0"/>
          <w:sz w:val="32"/>
          <w:szCs w:val="32"/>
          <w:highlight w:val="yellow"/>
        </w:rPr>
      </w:pPr>
      <w:r>
        <w:rPr>
          <w:rFonts w:ascii="仿宋_GB2312" w:eastAsia="仿宋_GB2312" w:hAnsi="仿宋_GB2312" w:cs="仿宋_GB2312" w:hint="eastAsia"/>
          <w:sz w:val="32"/>
          <w:szCs w:val="32"/>
        </w:rPr>
        <w:t>结合中央和北京市有关交通发展的政策文件，</w:t>
      </w:r>
      <w:r w:rsidR="004656DE" w:rsidRPr="004656DE">
        <w:rPr>
          <w:rFonts w:ascii="仿宋_GB2312" w:eastAsia="仿宋_GB2312" w:hAnsi="仿宋_GB2312" w:cs="仿宋_GB2312" w:hint="eastAsia"/>
          <w:sz w:val="32"/>
          <w:szCs w:val="32"/>
        </w:rPr>
        <w:t>确定部门年度绩效目标和指标</w:t>
      </w:r>
      <w:r>
        <w:rPr>
          <w:rFonts w:ascii="仿宋_GB2312" w:eastAsia="仿宋_GB2312" w:hAnsi="仿宋_GB2312" w:cs="仿宋_GB2312" w:hint="eastAsia"/>
          <w:sz w:val="32"/>
          <w:szCs w:val="32"/>
        </w:rPr>
        <w:t>，突出交</w:t>
      </w:r>
      <w:proofErr w:type="gramStart"/>
      <w:r>
        <w:rPr>
          <w:rFonts w:ascii="仿宋_GB2312" w:eastAsia="仿宋_GB2312" w:hAnsi="仿宋_GB2312" w:cs="仿宋_GB2312" w:hint="eastAsia"/>
          <w:sz w:val="32"/>
          <w:szCs w:val="32"/>
        </w:rPr>
        <w:t>研</w:t>
      </w:r>
      <w:proofErr w:type="gramEnd"/>
      <w:r>
        <w:rPr>
          <w:rFonts w:ascii="仿宋_GB2312" w:eastAsia="仿宋_GB2312" w:hAnsi="仿宋_GB2312" w:cs="仿宋_GB2312" w:hint="eastAsia"/>
          <w:sz w:val="32"/>
          <w:szCs w:val="32"/>
        </w:rPr>
        <w:t>院对交通事业发展的顶层设计；绩效目标方面，进一步完善绩效目标和绩效指标，优化绩效目标设置；绩效指标方面，严格按照财政部</w:t>
      </w:r>
      <w:proofErr w:type="gramStart"/>
      <w:r>
        <w:rPr>
          <w:rFonts w:ascii="仿宋_GB2312" w:eastAsia="仿宋_GB2312" w:hAnsi="仿宋_GB2312" w:cs="仿宋_GB2312" w:hint="eastAsia"/>
          <w:sz w:val="32"/>
          <w:szCs w:val="32"/>
        </w:rPr>
        <w:t>门对于</w:t>
      </w:r>
      <w:proofErr w:type="gramEnd"/>
      <w:r>
        <w:rPr>
          <w:rFonts w:ascii="仿宋_GB2312" w:eastAsia="仿宋_GB2312" w:hAnsi="仿宋_GB2312" w:cs="仿宋_GB2312" w:hint="eastAsia"/>
          <w:sz w:val="32"/>
          <w:szCs w:val="32"/>
        </w:rPr>
        <w:t>项目绩效指标填报的相关要求，从产出数量、质量、进度、成本、效益和满意度等方面设置全面、明确、细化、可考核的绩效指标，提高指标设置的完整性和有效性。</w:t>
      </w:r>
    </w:p>
    <w:p w:rsidR="00ED315D" w:rsidRDefault="00EE6A88">
      <w:pPr>
        <w:widowControl/>
        <w:adjustRightInd w:val="0"/>
        <w:snapToGrid w:val="0"/>
        <w:spacing w:line="360" w:lineRule="auto"/>
        <w:ind w:firstLineChars="200" w:firstLine="640"/>
        <w:rPr>
          <w:rFonts w:ascii="楷体_GB2312" w:eastAsia="楷体_GB2312" w:hAnsi="楷体_GB2312" w:cs="楷体_GB2312"/>
          <w:sz w:val="32"/>
          <w:szCs w:val="32"/>
        </w:rPr>
      </w:pPr>
      <w:r>
        <w:rPr>
          <w:rFonts w:ascii="楷体_GB2312" w:eastAsia="楷体_GB2312" w:hAnsi="楷体_GB2312" w:cs="楷体_GB2312" w:hint="eastAsia"/>
          <w:color w:val="000000"/>
          <w:kern w:val="0"/>
          <w:sz w:val="32"/>
          <w:szCs w:val="32"/>
        </w:rPr>
        <w:lastRenderedPageBreak/>
        <w:t xml:space="preserve">（二）加强年度工作执行管理，提高过程监督管理有效性 </w:t>
      </w:r>
    </w:p>
    <w:p w:rsidR="00ED315D" w:rsidRDefault="00EE6A88">
      <w:pPr>
        <w:adjustRightInd w:val="0"/>
        <w:snapToGrid w:val="0"/>
        <w:spacing w:line="360" w:lineRule="auto"/>
        <w:ind w:firstLineChars="200" w:firstLine="640"/>
        <w:rPr>
          <w:rFonts w:ascii="仿宋_GB2312" w:eastAsia="仿宋_GB2312"/>
          <w:sz w:val="32"/>
          <w:szCs w:val="32"/>
          <w:highlight w:val="yellow"/>
        </w:rPr>
      </w:pPr>
      <w:r>
        <w:rPr>
          <w:rFonts w:ascii="仿宋_GB2312" w:eastAsia="仿宋_GB2312" w:hAnsi="仿宋_GB2312" w:cs="仿宋_GB2312" w:hint="eastAsia"/>
          <w:color w:val="000000"/>
          <w:kern w:val="0"/>
          <w:sz w:val="32"/>
          <w:szCs w:val="32"/>
        </w:rPr>
        <w:t>建议交</w:t>
      </w:r>
      <w:proofErr w:type="gramStart"/>
      <w:r>
        <w:rPr>
          <w:rFonts w:ascii="仿宋_GB2312" w:eastAsia="仿宋_GB2312" w:hAnsi="仿宋_GB2312" w:cs="仿宋_GB2312" w:hint="eastAsia"/>
          <w:color w:val="000000"/>
          <w:kern w:val="0"/>
          <w:sz w:val="32"/>
          <w:szCs w:val="32"/>
        </w:rPr>
        <w:t>研</w:t>
      </w:r>
      <w:proofErr w:type="gramEnd"/>
      <w:r>
        <w:rPr>
          <w:rFonts w:ascii="仿宋_GB2312" w:eastAsia="仿宋_GB2312" w:hAnsi="仿宋_GB2312" w:cs="仿宋_GB2312" w:hint="eastAsia"/>
          <w:color w:val="000000"/>
          <w:kern w:val="0"/>
          <w:sz w:val="32"/>
          <w:szCs w:val="32"/>
        </w:rPr>
        <w:t>院进一步加强年度工作执行管理，加强对各部门年度工作和预算执行的跟踪管理及中期监控结果的应用，针对相关项目工作或预算执行进度缓慢、过程管理不够规范、支撑材料不够完备等情况，落实相关人员责任，积极推动相关工作进行，确保实施年度内各项业务工作顺利完成，达到预期效益，提高过程监督管理的有效性。</w:t>
      </w:r>
    </w:p>
    <w:p w:rsidR="00ED315D" w:rsidRDefault="00EE6A88">
      <w:pPr>
        <w:adjustRightInd w:val="0"/>
        <w:snapToGrid w:val="0"/>
        <w:spacing w:line="360" w:lineRule="auto"/>
        <w:ind w:firstLineChars="200" w:firstLine="640"/>
        <w:rPr>
          <w:rFonts w:ascii="楷体_GB2312" w:eastAsia="楷体_GB2312"/>
          <w:sz w:val="32"/>
          <w:szCs w:val="32"/>
          <w:highlight w:val="yellow"/>
        </w:rPr>
      </w:pPr>
      <w:r>
        <w:rPr>
          <w:rFonts w:ascii="楷体_GB2312" w:eastAsia="楷体_GB2312" w:hint="eastAsia"/>
          <w:sz w:val="32"/>
          <w:szCs w:val="32"/>
        </w:rPr>
        <w:t>（三）逐步提高各部门预算绩效管理意识，完善工作成效整理分析</w:t>
      </w:r>
    </w:p>
    <w:p w:rsidR="00ED315D" w:rsidRDefault="00EE6A88">
      <w:pPr>
        <w:adjustRightInd w:val="0"/>
        <w:snapToGrid w:val="0"/>
        <w:spacing w:line="360" w:lineRule="auto"/>
        <w:ind w:firstLineChars="200" w:firstLine="640"/>
        <w:rPr>
          <w:sz w:val="32"/>
          <w:szCs w:val="32"/>
        </w:rPr>
      </w:pPr>
      <w:r>
        <w:rPr>
          <w:rFonts w:ascii="仿宋_GB2312" w:eastAsia="仿宋_GB2312" w:hAnsi="Arial" w:cs="Arial" w:hint="eastAsia"/>
          <w:sz w:val="32"/>
          <w:szCs w:val="32"/>
          <w:shd w:val="clear" w:color="auto" w:fill="FFFFFF"/>
        </w:rPr>
        <w:t>建议逐步提高各部门预算绩效管理意识，进一步完善项目成效资料的收集、整理、分析。</w:t>
      </w:r>
      <w:r>
        <w:rPr>
          <w:rFonts w:ascii="仿宋_GB2312" w:eastAsia="仿宋_GB2312" w:hAnsi="仿宋_GB2312" w:cs="仿宋_GB2312" w:hint="eastAsia"/>
          <w:color w:val="000000"/>
          <w:kern w:val="0"/>
          <w:sz w:val="32"/>
          <w:szCs w:val="32"/>
        </w:rPr>
        <w:t>加强服务对象满意度调查工作，充分呈现实施效益，并为后续工作开展提供参考。</w:t>
      </w:r>
    </w:p>
    <w:p w:rsidR="00ED315D" w:rsidRDefault="00ED315D">
      <w:pPr>
        <w:adjustRightInd w:val="0"/>
        <w:snapToGrid w:val="0"/>
        <w:spacing w:line="360" w:lineRule="auto"/>
        <w:ind w:firstLineChars="200" w:firstLine="640"/>
        <w:rPr>
          <w:rFonts w:ascii="仿宋_GB2312" w:eastAsia="仿宋_GB2312" w:hAnsiTheme="minorEastAsia"/>
          <w:sz w:val="32"/>
          <w:szCs w:val="32"/>
          <w:highlight w:val="yellow"/>
        </w:rPr>
      </w:pPr>
    </w:p>
    <w:p w:rsidR="00ED315D" w:rsidRDefault="00ED315D">
      <w:pPr>
        <w:adjustRightInd w:val="0"/>
        <w:snapToGrid w:val="0"/>
        <w:spacing w:line="360" w:lineRule="auto"/>
        <w:rPr>
          <w:rFonts w:ascii="仿宋_GB2312" w:eastAsia="仿宋_GB2312" w:hAnsiTheme="minorEastAsia"/>
          <w:sz w:val="32"/>
          <w:szCs w:val="32"/>
          <w:highlight w:val="yellow"/>
        </w:rPr>
      </w:pPr>
    </w:p>
    <w:sectPr w:rsidR="00ED315D" w:rsidSect="00ED315D">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3E3" w:rsidRDefault="000C63E3" w:rsidP="00ED315D">
      <w:r>
        <w:separator/>
      </w:r>
    </w:p>
  </w:endnote>
  <w:endnote w:type="continuationSeparator" w:id="0">
    <w:p w:rsidR="000C63E3" w:rsidRDefault="000C63E3" w:rsidP="00ED31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楷体">
    <w:altName w:val="Arial Unicode MS"/>
    <w:charset w:val="86"/>
    <w:family w:val="modern"/>
    <w:pitch w:val="default"/>
    <w:sig w:usb0="00000000" w:usb1="38CF7CFA" w:usb2="00000016" w:usb3="00000000" w:csb0="00040001" w:csb1="00000000"/>
  </w:font>
  <w:font w:name="仿宋">
    <w:altName w:val="Arial Unicode MS"/>
    <w:charset w:val="86"/>
    <w:family w:val="modern"/>
    <w:pitch w:val="default"/>
    <w:sig w:usb0="00000000"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15D" w:rsidRDefault="00ED315D">
    <w:pPr>
      <w:pStyle w:val="a7"/>
      <w:jc w:val="center"/>
    </w:pPr>
  </w:p>
  <w:p w:rsidR="00ED315D" w:rsidRDefault="00ED315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71184"/>
    </w:sdtPr>
    <w:sdtContent>
      <w:p w:rsidR="00ED315D" w:rsidRDefault="001D4974">
        <w:pPr>
          <w:pStyle w:val="a7"/>
          <w:jc w:val="center"/>
        </w:pPr>
        <w:r>
          <w:rPr>
            <w:rFonts w:asciiTheme="minorEastAsia" w:eastAsiaTheme="minorEastAsia" w:hAnsiTheme="minorEastAsia"/>
            <w:sz w:val="28"/>
            <w:szCs w:val="28"/>
          </w:rPr>
          <w:fldChar w:fldCharType="begin"/>
        </w:r>
        <w:r w:rsidR="00EE6A88">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5E68D4" w:rsidRPr="005E68D4">
          <w:rPr>
            <w:rFonts w:asciiTheme="minorEastAsia" w:eastAsiaTheme="minorEastAsia" w:hAnsiTheme="minorEastAsia"/>
            <w:noProof/>
            <w:sz w:val="28"/>
            <w:szCs w:val="28"/>
            <w:lang w:val="zh-CN"/>
          </w:rPr>
          <w:t>21</w:t>
        </w:r>
        <w:r>
          <w:rPr>
            <w:rFonts w:asciiTheme="minorEastAsia" w:eastAsiaTheme="minorEastAsia" w:hAnsiTheme="minorEastAsia"/>
            <w:sz w:val="28"/>
            <w:szCs w:val="28"/>
          </w:rPr>
          <w:fldChar w:fldCharType="end"/>
        </w:r>
      </w:p>
    </w:sdtContent>
  </w:sdt>
  <w:p w:rsidR="00ED315D" w:rsidRDefault="00ED315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3E3" w:rsidRDefault="000C63E3" w:rsidP="00ED315D">
      <w:r>
        <w:separator/>
      </w:r>
    </w:p>
  </w:footnote>
  <w:footnote w:type="continuationSeparator" w:id="0">
    <w:p w:rsidR="000C63E3" w:rsidRDefault="000C63E3" w:rsidP="00ED31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grammar="clean"/>
  <w:trackRevisions/>
  <w:defaultTabStop w:val="420"/>
  <w:drawingGridHorizontalSpacing w:val="105"/>
  <w:drawingGridVerticalSpacing w:val="156"/>
  <w:noPunctuationKerning/>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jViMTM5NmU3OWVhYWUwYTIxNmM2MWM0ZjlmYWYyOTMifQ=="/>
  </w:docVars>
  <w:rsids>
    <w:rsidRoot w:val="F77F09F4"/>
    <w:rsid w:val="C36F37B1"/>
    <w:rsid w:val="CEFD3F3D"/>
    <w:rsid w:val="EA3F77F2"/>
    <w:rsid w:val="EEFE5989"/>
    <w:rsid w:val="EFCF3EAE"/>
    <w:rsid w:val="F5B764A2"/>
    <w:rsid w:val="F77F09F4"/>
    <w:rsid w:val="FFD7BFFC"/>
    <w:rsid w:val="00014F9D"/>
    <w:rsid w:val="0001561D"/>
    <w:rsid w:val="000277EC"/>
    <w:rsid w:val="00032BF5"/>
    <w:rsid w:val="00034BAE"/>
    <w:rsid w:val="00036C29"/>
    <w:rsid w:val="00037A40"/>
    <w:rsid w:val="000441C5"/>
    <w:rsid w:val="00054753"/>
    <w:rsid w:val="00054E24"/>
    <w:rsid w:val="0005635C"/>
    <w:rsid w:val="00057390"/>
    <w:rsid w:val="00096CE5"/>
    <w:rsid w:val="000A470C"/>
    <w:rsid w:val="000B1A15"/>
    <w:rsid w:val="000B2149"/>
    <w:rsid w:val="000C63E3"/>
    <w:rsid w:val="000D19E0"/>
    <w:rsid w:val="000E6620"/>
    <w:rsid w:val="000F0425"/>
    <w:rsid w:val="000F402D"/>
    <w:rsid w:val="00100A72"/>
    <w:rsid w:val="0010517B"/>
    <w:rsid w:val="00114B41"/>
    <w:rsid w:val="001216A4"/>
    <w:rsid w:val="00122135"/>
    <w:rsid w:val="00126747"/>
    <w:rsid w:val="00136532"/>
    <w:rsid w:val="0015649A"/>
    <w:rsid w:val="00157FF3"/>
    <w:rsid w:val="001644EA"/>
    <w:rsid w:val="00164C4C"/>
    <w:rsid w:val="00183C3C"/>
    <w:rsid w:val="001A24A8"/>
    <w:rsid w:val="001A3B29"/>
    <w:rsid w:val="001B2195"/>
    <w:rsid w:val="001B3693"/>
    <w:rsid w:val="001B3AED"/>
    <w:rsid w:val="001C2481"/>
    <w:rsid w:val="001C2ED4"/>
    <w:rsid w:val="001D3ADE"/>
    <w:rsid w:val="001D4974"/>
    <w:rsid w:val="001F68D6"/>
    <w:rsid w:val="002044AD"/>
    <w:rsid w:val="002050EA"/>
    <w:rsid w:val="00210548"/>
    <w:rsid w:val="00212426"/>
    <w:rsid w:val="0021508B"/>
    <w:rsid w:val="00243409"/>
    <w:rsid w:val="00255167"/>
    <w:rsid w:val="0028152F"/>
    <w:rsid w:val="00286B0E"/>
    <w:rsid w:val="0028781B"/>
    <w:rsid w:val="002904BB"/>
    <w:rsid w:val="002934D7"/>
    <w:rsid w:val="002A5A10"/>
    <w:rsid w:val="002B206A"/>
    <w:rsid w:val="002C0C0C"/>
    <w:rsid w:val="002C356E"/>
    <w:rsid w:val="002C5FC3"/>
    <w:rsid w:val="002C6377"/>
    <w:rsid w:val="002D45B1"/>
    <w:rsid w:val="002E2C51"/>
    <w:rsid w:val="002F61BE"/>
    <w:rsid w:val="00310524"/>
    <w:rsid w:val="00323829"/>
    <w:rsid w:val="00333EA7"/>
    <w:rsid w:val="00341251"/>
    <w:rsid w:val="003413E6"/>
    <w:rsid w:val="003651F3"/>
    <w:rsid w:val="00367C4E"/>
    <w:rsid w:val="00382E49"/>
    <w:rsid w:val="003919EC"/>
    <w:rsid w:val="003941CB"/>
    <w:rsid w:val="003A1506"/>
    <w:rsid w:val="003A5F70"/>
    <w:rsid w:val="003B184C"/>
    <w:rsid w:val="003C3149"/>
    <w:rsid w:val="003C4A9E"/>
    <w:rsid w:val="003D1232"/>
    <w:rsid w:val="003D2965"/>
    <w:rsid w:val="004006E6"/>
    <w:rsid w:val="004043B9"/>
    <w:rsid w:val="004112BB"/>
    <w:rsid w:val="00435CBE"/>
    <w:rsid w:val="0044730D"/>
    <w:rsid w:val="00462DDF"/>
    <w:rsid w:val="004656DE"/>
    <w:rsid w:val="00482E89"/>
    <w:rsid w:val="00485D6C"/>
    <w:rsid w:val="00486EB2"/>
    <w:rsid w:val="00494097"/>
    <w:rsid w:val="004A32B9"/>
    <w:rsid w:val="004A720B"/>
    <w:rsid w:val="004B0ED6"/>
    <w:rsid w:val="004E01D0"/>
    <w:rsid w:val="00520F9D"/>
    <w:rsid w:val="005240F2"/>
    <w:rsid w:val="00525E8A"/>
    <w:rsid w:val="00526581"/>
    <w:rsid w:val="005313BC"/>
    <w:rsid w:val="005350CA"/>
    <w:rsid w:val="0053678A"/>
    <w:rsid w:val="00565D00"/>
    <w:rsid w:val="005733E9"/>
    <w:rsid w:val="00576179"/>
    <w:rsid w:val="00577F4D"/>
    <w:rsid w:val="0059679E"/>
    <w:rsid w:val="00597BCB"/>
    <w:rsid w:val="005A6F8E"/>
    <w:rsid w:val="005C21D2"/>
    <w:rsid w:val="005D53BD"/>
    <w:rsid w:val="005E073B"/>
    <w:rsid w:val="005E2901"/>
    <w:rsid w:val="005E68D4"/>
    <w:rsid w:val="005F6821"/>
    <w:rsid w:val="006055D9"/>
    <w:rsid w:val="0061420C"/>
    <w:rsid w:val="00616D98"/>
    <w:rsid w:val="00635550"/>
    <w:rsid w:val="006570B1"/>
    <w:rsid w:val="0067145E"/>
    <w:rsid w:val="006760DD"/>
    <w:rsid w:val="00681DC5"/>
    <w:rsid w:val="00691323"/>
    <w:rsid w:val="006A3117"/>
    <w:rsid w:val="006A3EFE"/>
    <w:rsid w:val="006C06C1"/>
    <w:rsid w:val="006C41B6"/>
    <w:rsid w:val="006C494D"/>
    <w:rsid w:val="006D0F17"/>
    <w:rsid w:val="006D4FC6"/>
    <w:rsid w:val="006D6CAD"/>
    <w:rsid w:val="006E4780"/>
    <w:rsid w:val="006E4951"/>
    <w:rsid w:val="006F2961"/>
    <w:rsid w:val="00711512"/>
    <w:rsid w:val="007505B2"/>
    <w:rsid w:val="00754C98"/>
    <w:rsid w:val="00755B04"/>
    <w:rsid w:val="0076097F"/>
    <w:rsid w:val="00764AC3"/>
    <w:rsid w:val="007816D8"/>
    <w:rsid w:val="00797D7D"/>
    <w:rsid w:val="007A3076"/>
    <w:rsid w:val="007A7F62"/>
    <w:rsid w:val="007B7A3C"/>
    <w:rsid w:val="007D3C3D"/>
    <w:rsid w:val="007D403D"/>
    <w:rsid w:val="007E54A6"/>
    <w:rsid w:val="007F595F"/>
    <w:rsid w:val="00800539"/>
    <w:rsid w:val="00806674"/>
    <w:rsid w:val="0081042F"/>
    <w:rsid w:val="008106A2"/>
    <w:rsid w:val="008238F3"/>
    <w:rsid w:val="008327E2"/>
    <w:rsid w:val="008330A0"/>
    <w:rsid w:val="00837B18"/>
    <w:rsid w:val="00842F28"/>
    <w:rsid w:val="008467FA"/>
    <w:rsid w:val="00847B83"/>
    <w:rsid w:val="0085123F"/>
    <w:rsid w:val="00864926"/>
    <w:rsid w:val="00882DC5"/>
    <w:rsid w:val="00897A01"/>
    <w:rsid w:val="008A786A"/>
    <w:rsid w:val="008E1228"/>
    <w:rsid w:val="008F5D4C"/>
    <w:rsid w:val="008F64BC"/>
    <w:rsid w:val="008F6DB1"/>
    <w:rsid w:val="0092004C"/>
    <w:rsid w:val="00927458"/>
    <w:rsid w:val="00930F8A"/>
    <w:rsid w:val="0093216B"/>
    <w:rsid w:val="00940839"/>
    <w:rsid w:val="009459CB"/>
    <w:rsid w:val="00947716"/>
    <w:rsid w:val="00950FAF"/>
    <w:rsid w:val="00952855"/>
    <w:rsid w:val="00955790"/>
    <w:rsid w:val="00974D37"/>
    <w:rsid w:val="00984953"/>
    <w:rsid w:val="00990503"/>
    <w:rsid w:val="009B06A5"/>
    <w:rsid w:val="009B647E"/>
    <w:rsid w:val="009C77E9"/>
    <w:rsid w:val="009D1513"/>
    <w:rsid w:val="009D3870"/>
    <w:rsid w:val="009E3E46"/>
    <w:rsid w:val="009E4839"/>
    <w:rsid w:val="009E6534"/>
    <w:rsid w:val="00A014D7"/>
    <w:rsid w:val="00A266B6"/>
    <w:rsid w:val="00A31596"/>
    <w:rsid w:val="00A60C6A"/>
    <w:rsid w:val="00A73F48"/>
    <w:rsid w:val="00A7499B"/>
    <w:rsid w:val="00A76635"/>
    <w:rsid w:val="00A77913"/>
    <w:rsid w:val="00A85C61"/>
    <w:rsid w:val="00A965D0"/>
    <w:rsid w:val="00AA32FD"/>
    <w:rsid w:val="00AA53E1"/>
    <w:rsid w:val="00AB4B78"/>
    <w:rsid w:val="00AB505F"/>
    <w:rsid w:val="00AB5FAD"/>
    <w:rsid w:val="00AB7551"/>
    <w:rsid w:val="00AC0358"/>
    <w:rsid w:val="00AC6115"/>
    <w:rsid w:val="00AD2CE4"/>
    <w:rsid w:val="00AD69DA"/>
    <w:rsid w:val="00AD6A96"/>
    <w:rsid w:val="00AE3815"/>
    <w:rsid w:val="00B00F06"/>
    <w:rsid w:val="00B0267C"/>
    <w:rsid w:val="00B064E1"/>
    <w:rsid w:val="00B1489D"/>
    <w:rsid w:val="00B1599E"/>
    <w:rsid w:val="00B44D87"/>
    <w:rsid w:val="00B468E7"/>
    <w:rsid w:val="00B47A17"/>
    <w:rsid w:val="00B51F19"/>
    <w:rsid w:val="00B55EDD"/>
    <w:rsid w:val="00B62A78"/>
    <w:rsid w:val="00B73E56"/>
    <w:rsid w:val="00B74B1F"/>
    <w:rsid w:val="00B77F8D"/>
    <w:rsid w:val="00B85B3A"/>
    <w:rsid w:val="00B9101E"/>
    <w:rsid w:val="00B96FC9"/>
    <w:rsid w:val="00BB2EB7"/>
    <w:rsid w:val="00BB43EA"/>
    <w:rsid w:val="00BB5112"/>
    <w:rsid w:val="00BB611A"/>
    <w:rsid w:val="00BB66C1"/>
    <w:rsid w:val="00BC3BFF"/>
    <w:rsid w:val="00BD3313"/>
    <w:rsid w:val="00BE0FE0"/>
    <w:rsid w:val="00BE1152"/>
    <w:rsid w:val="00BE7F59"/>
    <w:rsid w:val="00BF3328"/>
    <w:rsid w:val="00BF64A6"/>
    <w:rsid w:val="00C052BA"/>
    <w:rsid w:val="00C22B09"/>
    <w:rsid w:val="00C30B14"/>
    <w:rsid w:val="00C40C29"/>
    <w:rsid w:val="00C44253"/>
    <w:rsid w:val="00C5333F"/>
    <w:rsid w:val="00C54D1E"/>
    <w:rsid w:val="00C83332"/>
    <w:rsid w:val="00C907D7"/>
    <w:rsid w:val="00C917DE"/>
    <w:rsid w:val="00CA1954"/>
    <w:rsid w:val="00CB1EC6"/>
    <w:rsid w:val="00CD3A40"/>
    <w:rsid w:val="00D006E8"/>
    <w:rsid w:val="00D0215C"/>
    <w:rsid w:val="00D10B43"/>
    <w:rsid w:val="00D110D0"/>
    <w:rsid w:val="00D157C5"/>
    <w:rsid w:val="00D24EA0"/>
    <w:rsid w:val="00D25A46"/>
    <w:rsid w:val="00D260E1"/>
    <w:rsid w:val="00D415B8"/>
    <w:rsid w:val="00D47134"/>
    <w:rsid w:val="00D50687"/>
    <w:rsid w:val="00D57263"/>
    <w:rsid w:val="00D73C72"/>
    <w:rsid w:val="00D84B45"/>
    <w:rsid w:val="00D91CDB"/>
    <w:rsid w:val="00DC24C0"/>
    <w:rsid w:val="00DC3FC6"/>
    <w:rsid w:val="00DC5566"/>
    <w:rsid w:val="00DD68A3"/>
    <w:rsid w:val="00DE1E43"/>
    <w:rsid w:val="00DF0DE3"/>
    <w:rsid w:val="00E00979"/>
    <w:rsid w:val="00E05587"/>
    <w:rsid w:val="00E122D1"/>
    <w:rsid w:val="00E174D9"/>
    <w:rsid w:val="00E21B05"/>
    <w:rsid w:val="00E22676"/>
    <w:rsid w:val="00E258D9"/>
    <w:rsid w:val="00E30DB2"/>
    <w:rsid w:val="00E32D67"/>
    <w:rsid w:val="00E4022D"/>
    <w:rsid w:val="00E52EBA"/>
    <w:rsid w:val="00E550C7"/>
    <w:rsid w:val="00E712A3"/>
    <w:rsid w:val="00E71414"/>
    <w:rsid w:val="00E73EA3"/>
    <w:rsid w:val="00E74436"/>
    <w:rsid w:val="00E92877"/>
    <w:rsid w:val="00E97416"/>
    <w:rsid w:val="00EA30A9"/>
    <w:rsid w:val="00EB1DEB"/>
    <w:rsid w:val="00EC47E9"/>
    <w:rsid w:val="00ED315D"/>
    <w:rsid w:val="00ED4BE9"/>
    <w:rsid w:val="00EE6A88"/>
    <w:rsid w:val="00F00BC8"/>
    <w:rsid w:val="00F13AF0"/>
    <w:rsid w:val="00F30D7D"/>
    <w:rsid w:val="00F36D06"/>
    <w:rsid w:val="00F53FBB"/>
    <w:rsid w:val="00F63A06"/>
    <w:rsid w:val="00F6433F"/>
    <w:rsid w:val="00F810C3"/>
    <w:rsid w:val="00F814EE"/>
    <w:rsid w:val="00F8181A"/>
    <w:rsid w:val="00F864D7"/>
    <w:rsid w:val="00F90B73"/>
    <w:rsid w:val="00F90C4A"/>
    <w:rsid w:val="00F943BA"/>
    <w:rsid w:val="00F967B1"/>
    <w:rsid w:val="00FA2980"/>
    <w:rsid w:val="00FA66E1"/>
    <w:rsid w:val="00FB2E2D"/>
    <w:rsid w:val="00FB412E"/>
    <w:rsid w:val="00FB5EE2"/>
    <w:rsid w:val="00FC1049"/>
    <w:rsid w:val="00FC1EBD"/>
    <w:rsid w:val="00FC4CE7"/>
    <w:rsid w:val="00FD0062"/>
    <w:rsid w:val="00FD0DC8"/>
    <w:rsid w:val="01A56F94"/>
    <w:rsid w:val="0ECF9C51"/>
    <w:rsid w:val="29B00104"/>
    <w:rsid w:val="2CDE5AF7"/>
    <w:rsid w:val="311A7728"/>
    <w:rsid w:val="36BD75F4"/>
    <w:rsid w:val="37173543"/>
    <w:rsid w:val="3FF76880"/>
    <w:rsid w:val="4668275C"/>
    <w:rsid w:val="488E0FAC"/>
    <w:rsid w:val="4A952A8A"/>
    <w:rsid w:val="55181477"/>
    <w:rsid w:val="55397537"/>
    <w:rsid w:val="56F041FB"/>
    <w:rsid w:val="6397642D"/>
    <w:rsid w:val="660D2ADF"/>
    <w:rsid w:val="6FF4E41B"/>
    <w:rsid w:val="736174D2"/>
    <w:rsid w:val="74AD0F4A"/>
    <w:rsid w:val="7AB7FF50"/>
    <w:rsid w:val="7BFEB0DB"/>
    <w:rsid w:val="7FFF33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0" w:unhideWhenUsed="0" w:qFormat="1"/>
    <w:lsdException w:name="annotation text" w:qFormat="1"/>
    <w:lsdException w:name="header" w:semiHidden="0" w:unhideWhenUsed="0" w:qFormat="1"/>
    <w:lsdException w:name="footer" w:semiHidden="0" w:uiPriority="99" w:unhideWhenUsed="0" w:qFormat="1"/>
    <w:lsdException w:name="caption" w:semiHidden="0" w:qFormat="1"/>
    <w:lsdException w:name="footnote reference" w:semiHidden="0" w:unhideWhenUsed="0" w:qFormat="1"/>
    <w:lsdException w:name="annotation reference"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uiPriority="99"/>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315D"/>
    <w:pPr>
      <w:widowControl w:val="0"/>
      <w:jc w:val="both"/>
    </w:pPr>
    <w:rPr>
      <w:kern w:val="2"/>
      <w:sz w:val="21"/>
      <w:szCs w:val="24"/>
    </w:rPr>
  </w:style>
  <w:style w:type="paragraph" w:styleId="2">
    <w:name w:val="heading 2"/>
    <w:basedOn w:val="a"/>
    <w:next w:val="a"/>
    <w:qFormat/>
    <w:rsid w:val="00ED315D"/>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sid w:val="00ED315D"/>
    <w:rPr>
      <w:rFonts w:asciiTheme="majorHAnsi" w:eastAsia="黑体" w:hAnsiTheme="majorHAnsi" w:cstheme="majorBidi"/>
      <w:sz w:val="20"/>
      <w:szCs w:val="20"/>
    </w:rPr>
  </w:style>
  <w:style w:type="paragraph" w:styleId="a4">
    <w:name w:val="Document Map"/>
    <w:basedOn w:val="a"/>
    <w:link w:val="Char"/>
    <w:qFormat/>
    <w:rsid w:val="00ED315D"/>
    <w:rPr>
      <w:rFonts w:ascii="宋体"/>
      <w:sz w:val="18"/>
      <w:szCs w:val="18"/>
    </w:rPr>
  </w:style>
  <w:style w:type="paragraph" w:styleId="a5">
    <w:name w:val="annotation text"/>
    <w:basedOn w:val="a"/>
    <w:link w:val="Char0"/>
    <w:semiHidden/>
    <w:unhideWhenUsed/>
    <w:qFormat/>
    <w:rsid w:val="00ED315D"/>
    <w:pPr>
      <w:jc w:val="left"/>
    </w:pPr>
  </w:style>
  <w:style w:type="paragraph" w:styleId="a6">
    <w:name w:val="Balloon Text"/>
    <w:basedOn w:val="a"/>
    <w:link w:val="Char1"/>
    <w:qFormat/>
    <w:rsid w:val="00ED315D"/>
    <w:rPr>
      <w:sz w:val="18"/>
      <w:szCs w:val="18"/>
    </w:rPr>
  </w:style>
  <w:style w:type="paragraph" w:styleId="a7">
    <w:name w:val="footer"/>
    <w:basedOn w:val="a"/>
    <w:link w:val="Char2"/>
    <w:uiPriority w:val="99"/>
    <w:qFormat/>
    <w:rsid w:val="00ED315D"/>
    <w:pPr>
      <w:tabs>
        <w:tab w:val="center" w:pos="4153"/>
        <w:tab w:val="right" w:pos="8306"/>
      </w:tabs>
      <w:snapToGrid w:val="0"/>
      <w:jc w:val="left"/>
    </w:pPr>
    <w:rPr>
      <w:sz w:val="18"/>
      <w:szCs w:val="20"/>
    </w:rPr>
  </w:style>
  <w:style w:type="paragraph" w:styleId="a8">
    <w:name w:val="header"/>
    <w:basedOn w:val="a"/>
    <w:qFormat/>
    <w:rsid w:val="00ED315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footnote text"/>
    <w:basedOn w:val="a"/>
    <w:link w:val="Char3"/>
    <w:qFormat/>
    <w:rsid w:val="00ED315D"/>
    <w:pPr>
      <w:snapToGrid w:val="0"/>
      <w:jc w:val="left"/>
    </w:pPr>
    <w:rPr>
      <w:sz w:val="18"/>
      <w:szCs w:val="18"/>
    </w:rPr>
  </w:style>
  <w:style w:type="paragraph" w:styleId="aa">
    <w:name w:val="annotation subject"/>
    <w:basedOn w:val="a5"/>
    <w:next w:val="a5"/>
    <w:link w:val="Char4"/>
    <w:semiHidden/>
    <w:unhideWhenUsed/>
    <w:qFormat/>
    <w:rsid w:val="00ED315D"/>
    <w:rPr>
      <w:b/>
      <w:bCs/>
    </w:rPr>
  </w:style>
  <w:style w:type="table" w:styleId="ab">
    <w:name w:val="Table Grid"/>
    <w:basedOn w:val="a1"/>
    <w:qFormat/>
    <w:rsid w:val="00ED315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c">
    <w:name w:val="page number"/>
    <w:basedOn w:val="a0"/>
    <w:qFormat/>
    <w:rsid w:val="00ED315D"/>
  </w:style>
  <w:style w:type="character" w:styleId="ad">
    <w:name w:val="annotation reference"/>
    <w:basedOn w:val="a0"/>
    <w:semiHidden/>
    <w:unhideWhenUsed/>
    <w:qFormat/>
    <w:rsid w:val="00ED315D"/>
    <w:rPr>
      <w:sz w:val="21"/>
      <w:szCs w:val="21"/>
    </w:rPr>
  </w:style>
  <w:style w:type="character" w:styleId="ae">
    <w:name w:val="footnote reference"/>
    <w:basedOn w:val="a0"/>
    <w:qFormat/>
    <w:rsid w:val="00ED315D"/>
    <w:rPr>
      <w:vertAlign w:val="superscript"/>
    </w:rPr>
  </w:style>
  <w:style w:type="paragraph" w:customStyle="1" w:styleId="1">
    <w:name w:val="列出段落1"/>
    <w:basedOn w:val="a"/>
    <w:uiPriority w:val="34"/>
    <w:qFormat/>
    <w:rsid w:val="00ED315D"/>
    <w:pPr>
      <w:ind w:firstLineChars="200" w:firstLine="420"/>
    </w:pPr>
    <w:rPr>
      <w:rFonts w:ascii="Calibri" w:hAnsi="Calibri" w:cs="黑体"/>
      <w:szCs w:val="22"/>
    </w:rPr>
  </w:style>
  <w:style w:type="paragraph" w:styleId="af">
    <w:name w:val="List Paragraph"/>
    <w:basedOn w:val="a"/>
    <w:uiPriority w:val="99"/>
    <w:qFormat/>
    <w:rsid w:val="00ED315D"/>
    <w:pPr>
      <w:ind w:firstLineChars="200" w:firstLine="420"/>
    </w:pPr>
  </w:style>
  <w:style w:type="character" w:customStyle="1" w:styleId="Char3">
    <w:name w:val="脚注文本 Char"/>
    <w:basedOn w:val="a0"/>
    <w:link w:val="a9"/>
    <w:qFormat/>
    <w:rsid w:val="00ED315D"/>
    <w:rPr>
      <w:rFonts w:ascii="Times New Roman" w:eastAsia="宋体" w:hAnsi="Times New Roman" w:cs="Times New Roman"/>
      <w:kern w:val="2"/>
      <w:sz w:val="18"/>
      <w:szCs w:val="18"/>
    </w:rPr>
  </w:style>
  <w:style w:type="character" w:customStyle="1" w:styleId="Char2">
    <w:name w:val="页脚 Char"/>
    <w:basedOn w:val="a0"/>
    <w:link w:val="a7"/>
    <w:uiPriority w:val="99"/>
    <w:qFormat/>
    <w:rsid w:val="00ED315D"/>
    <w:rPr>
      <w:rFonts w:ascii="Times New Roman" w:eastAsia="宋体" w:hAnsi="Times New Roman" w:cs="Times New Roman"/>
      <w:kern w:val="2"/>
      <w:sz w:val="18"/>
    </w:rPr>
  </w:style>
  <w:style w:type="character" w:customStyle="1" w:styleId="Char1">
    <w:name w:val="批注框文本 Char"/>
    <w:basedOn w:val="a0"/>
    <w:link w:val="a6"/>
    <w:qFormat/>
    <w:rsid w:val="00ED315D"/>
    <w:rPr>
      <w:rFonts w:ascii="Times New Roman" w:eastAsia="宋体" w:hAnsi="Times New Roman" w:cs="Times New Roman"/>
      <w:kern w:val="2"/>
      <w:sz w:val="18"/>
      <w:szCs w:val="18"/>
    </w:rPr>
  </w:style>
  <w:style w:type="character" w:customStyle="1" w:styleId="Char">
    <w:name w:val="文档结构图 Char"/>
    <w:basedOn w:val="a0"/>
    <w:link w:val="a4"/>
    <w:qFormat/>
    <w:rsid w:val="00ED315D"/>
    <w:rPr>
      <w:rFonts w:ascii="宋体" w:eastAsia="宋体" w:hAnsi="Times New Roman" w:cs="Times New Roman"/>
      <w:kern w:val="2"/>
      <w:sz w:val="18"/>
      <w:szCs w:val="18"/>
    </w:rPr>
  </w:style>
  <w:style w:type="paragraph" w:customStyle="1" w:styleId="10">
    <w:name w:val="修订1"/>
    <w:hidden/>
    <w:uiPriority w:val="99"/>
    <w:semiHidden/>
    <w:qFormat/>
    <w:rsid w:val="00ED315D"/>
    <w:rPr>
      <w:kern w:val="2"/>
      <w:sz w:val="21"/>
      <w:szCs w:val="24"/>
    </w:rPr>
  </w:style>
  <w:style w:type="character" w:customStyle="1" w:styleId="Char0">
    <w:name w:val="批注文字 Char"/>
    <w:basedOn w:val="a0"/>
    <w:link w:val="a5"/>
    <w:semiHidden/>
    <w:qFormat/>
    <w:rsid w:val="00ED315D"/>
    <w:rPr>
      <w:rFonts w:ascii="Times New Roman" w:eastAsia="宋体" w:hAnsi="Times New Roman" w:cs="Times New Roman"/>
      <w:kern w:val="2"/>
      <w:sz w:val="21"/>
      <w:szCs w:val="24"/>
    </w:rPr>
  </w:style>
  <w:style w:type="character" w:customStyle="1" w:styleId="Char4">
    <w:name w:val="批注主题 Char"/>
    <w:basedOn w:val="Char0"/>
    <w:link w:val="aa"/>
    <w:semiHidden/>
    <w:qFormat/>
    <w:rsid w:val="00ED315D"/>
    <w:rPr>
      <w:rFonts w:ascii="Times New Roman" w:eastAsia="宋体" w:hAnsi="Times New Roman" w:cs="Times New Roman"/>
      <w:b/>
      <w:bCs/>
      <w:kern w:val="2"/>
      <w:sz w:val="21"/>
      <w:szCs w:val="24"/>
    </w:rPr>
  </w:style>
  <w:style w:type="character" w:customStyle="1" w:styleId="font11">
    <w:name w:val="font11"/>
    <w:basedOn w:val="a0"/>
    <w:qFormat/>
    <w:rsid w:val="00ED315D"/>
    <w:rPr>
      <w:rFonts w:ascii="宋体" w:eastAsia="宋体" w:hAnsi="宋体" w:cs="宋体" w:hint="eastAsia"/>
      <w:color w:val="000000"/>
      <w:sz w:val="18"/>
      <w:szCs w:val="18"/>
      <w:u w:val="none"/>
    </w:rPr>
  </w:style>
  <w:style w:type="paragraph" w:customStyle="1" w:styleId="20">
    <w:name w:val="修订2"/>
    <w:hidden/>
    <w:uiPriority w:val="99"/>
    <w:semiHidden/>
    <w:qFormat/>
    <w:rsid w:val="00ED315D"/>
    <w:rPr>
      <w:kern w:val="2"/>
      <w:sz w:val="21"/>
      <w:szCs w:val="24"/>
    </w:rPr>
  </w:style>
  <w:style w:type="paragraph" w:styleId="af0">
    <w:name w:val="Normal (Web)"/>
    <w:basedOn w:val="a"/>
    <w:uiPriority w:val="99"/>
    <w:semiHidden/>
    <w:unhideWhenUsed/>
    <w:rsid w:val="00847B83"/>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E7487-1BC1-433B-9AEF-9F599AB80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22</Pages>
  <Words>1741</Words>
  <Characters>9925</Characters>
  <Application>Microsoft Office Word</Application>
  <DocSecurity>0</DocSecurity>
  <Lines>82</Lines>
  <Paragraphs>23</Paragraphs>
  <ScaleCrop>false</ScaleCrop>
  <Company>MS</Company>
  <LinksUpToDate>false</LinksUpToDate>
  <CharactersWithSpaces>11643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余文煊</cp:lastModifiedBy>
  <cp:revision>26</cp:revision>
  <dcterms:created xsi:type="dcterms:W3CDTF">2022-05-19T08:23:00Z</dcterms:created>
  <dcterms:modified xsi:type="dcterms:W3CDTF">2023-08-15T09:01:00Z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5E1B581BC3284996BC7B497B6BCDC2FC_12</vt:lpwstr>
  </property>
</Properties>
</file>