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第四部分  2022年度部门绩效评价情况</w:t>
      </w:r>
    </w:p>
    <w:p>
      <w:pPr>
        <w:ind w:firstLine="560" w:firstLineChars="200"/>
        <w:rPr>
          <w:rFonts w:ascii="黑体" w:eastAsia="黑体"/>
          <w:sz w:val="28"/>
          <w:szCs w:val="28"/>
          <w:highlight w:val="yellow"/>
        </w:rPr>
      </w:pPr>
    </w:p>
    <w:p>
      <w:pPr>
        <w:numPr>
          <w:ilvl w:val="0"/>
          <w:numId w:val="1"/>
        </w:numPr>
        <w:spacing w:line="580" w:lineRule="exact"/>
        <w:ind w:firstLine="560" w:firstLineChars="20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部门整体绩效评价报告</w:t>
      </w:r>
    </w:p>
    <w:p>
      <w:pPr>
        <w:numPr>
          <w:ilvl w:val="0"/>
          <w:numId w:val="2"/>
        </w:numPr>
        <w:spacing w:line="56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部门概况</w:t>
      </w:r>
    </w:p>
    <w:p>
      <w:pPr>
        <w:numPr>
          <w:ilvl w:val="0"/>
          <w:numId w:val="3"/>
        </w:numPr>
        <w:spacing w:line="56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机构设置及职责工作任务情况</w:t>
      </w:r>
    </w:p>
    <w:p>
      <w:pPr>
        <w:tabs>
          <w:tab w:val="center" w:pos="6979"/>
        </w:tabs>
        <w:spacing w:line="580" w:lineRule="exact"/>
        <w:ind w:firstLine="560" w:firstLineChars="200"/>
        <w:rPr>
          <w:rFonts w:hint="eastAsia" w:ascii="仿宋_GB2312" w:hAnsi="Times New Roman" w:eastAsia="仿宋_GB2312" w:cs="Times New Roman"/>
          <w:kern w:val="0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北京市支援合作办公室（以下简称“市支援合作办”）是北京市支援合作工作领导小组的常设机构，为正局级，主要负责统筹协调本市对口支援和交流合作工作，支持对口支援和协作地区巩固脱贫攻坚成果、实施乡村振兴战略。</w:t>
      </w:r>
    </w:p>
    <w:p>
      <w:pPr>
        <w:tabs>
          <w:tab w:val="center" w:pos="6979"/>
        </w:tabs>
        <w:spacing w:line="580" w:lineRule="exact"/>
        <w:ind w:firstLine="560" w:firstLineChars="200"/>
        <w:rPr>
          <w:rFonts w:hint="eastAsia" w:ascii="仿宋_GB2312" w:hAnsi="Times New Roman" w:eastAsia="仿宋_GB2312" w:cs="Times New Roman"/>
          <w:kern w:val="0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北京市支援合作办公室内设机构分别为综合处、研究室、支援合作一处、支援合作二处、支援合作三处、支援合作四处、智力支援处、人事处</w:t>
      </w:r>
      <w:r>
        <w:rPr>
          <w:rFonts w:hint="eastAsia" w:ascii="仿宋_GB2312" w:hAnsi="Times New Roman" w:eastAsia="仿宋_GB2312" w:cs="Times New Roman"/>
          <w:kern w:val="0"/>
          <w:sz w:val="28"/>
          <w:szCs w:val="28"/>
          <w:lang w:eastAsia="zh-CN"/>
        </w:rPr>
        <w:t>、机关党委</w:t>
      </w: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，本级预算单位为市支援合作办机关，下属1个事业单位北京市对口支援和经济合作服务中心。</w:t>
      </w:r>
    </w:p>
    <w:p>
      <w:pPr>
        <w:pStyle w:val="2"/>
        <w:ind w:firstLine="56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市支援合作办</w:t>
      </w:r>
      <w:r>
        <w:rPr>
          <w:rFonts w:hint="eastAsia" w:ascii="仿宋_GB2312" w:hAnsi="仿宋_GB2312" w:eastAsia="仿宋_GB2312" w:cs="仿宋_GB2312"/>
          <w:sz w:val="28"/>
          <w:szCs w:val="28"/>
        </w:rPr>
        <w:t>设下列内设机构：</w:t>
      </w:r>
    </w:p>
    <w:p>
      <w:pPr>
        <w:pStyle w:val="2"/>
        <w:ind w:firstLine="56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1）综合处。负责机关日常运转和内外联系、综合协调工作。承担文电、会务、值班、机要、档案、督查、信息、政务公开、新闻宣传、建议议案提案办理、信访、联络接待、外事、财务、资产管理、保密、安全保卫等工作。</w:t>
      </w:r>
    </w:p>
    <w:p>
      <w:pPr>
        <w:pStyle w:val="2"/>
        <w:ind w:firstLine="56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（2）研究室。负责组织拟订本市支援合作中长期规划、工作计划、政策措施、制度标准、评估考核办法等。负责调查研究支援合作工作中的重大问题，并提出意见建议。承担综合性文稿起草工作。</w:t>
      </w:r>
    </w:p>
    <w:p>
      <w:pPr>
        <w:pStyle w:val="2"/>
        <w:ind w:firstLine="56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（3）支援合作一至四处。负责组织协调相关区域支援合作工作，研究拟订具体政策措施并组织实施，协调解决工作中的有关问题，督促检查领导小组决策和工作部署的落实情况。</w:t>
      </w:r>
    </w:p>
    <w:p>
      <w:pPr>
        <w:pStyle w:val="2"/>
        <w:ind w:firstLine="56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（4）智力支援处。负责研究拟订智力、技术、人才支援中长期规划和工作计划并组织实施。承担援派干部人才业务培训和受援地区干部人才来京培训工作。负责组织为受援地区发展提供信息咨询等服务。</w:t>
      </w:r>
    </w:p>
    <w:p>
      <w:pPr>
        <w:pStyle w:val="2"/>
        <w:ind w:firstLine="56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（5）人事处。负责机关及所属单位的机构编制、干部人事、离退休人员服务管理等工作。负责协助开展援派干部日常管理工作。</w:t>
      </w:r>
    </w:p>
    <w:p>
      <w:pPr>
        <w:pStyle w:val="2"/>
        <w:ind w:firstLine="56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（6）机关党委。负责机关及所属单位的党群、纪检工作。承担</w:t>
      </w: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市支援合作办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28"/>
          <w:szCs w:val="28"/>
        </w:rPr>
        <w:t>党组落实党要管党、从严治党责任和党风廉政建设主体责任的具体工作。</w:t>
      </w:r>
    </w:p>
    <w:p>
      <w:pPr>
        <w:spacing w:line="560" w:lineRule="exact"/>
        <w:ind w:left="560" w:firstLine="280" w:firstLineChars="1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（二）当年预算执行情况</w:t>
      </w:r>
    </w:p>
    <w:p>
      <w:pPr>
        <w:pStyle w:val="2"/>
        <w:ind w:firstLine="42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2022年全年预算数49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85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03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万元，其中，基本支出预算数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2812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.19万元，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项目支出预算数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2172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.84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万元，其他支出预算数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万元。资金总体支出4449.01万元，其中，基本支出2523.44万元，项目支出1925.57万元，其他支出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万元。预算执行率为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89%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。</w:t>
      </w:r>
    </w:p>
    <w:p>
      <w:pPr>
        <w:spacing w:line="560" w:lineRule="exact"/>
        <w:ind w:left="560" w:firstLine="280" w:firstLineChars="1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（三）整体绩效目标实现情况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1、产出完成情况分析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（1）产出数量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市支援合作办</w:t>
      </w:r>
      <w:r>
        <w:rPr>
          <w:rFonts w:hint="eastAsia" w:ascii="仿宋_GB2312" w:hAnsi="仿宋_GB2312" w:eastAsia="仿宋_GB2312" w:cs="仿宋_GB2312"/>
          <w:sz w:val="28"/>
          <w:szCs w:val="28"/>
        </w:rPr>
        <w:t>整体部门2022年度共有项目共26个，涉及金额2,100.84万元，总体完成情况良好。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（2）产出质量</w:t>
      </w:r>
    </w:p>
    <w:p>
      <w:pPr>
        <w:pStyle w:val="2"/>
        <w:ind w:firstLine="42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产出质量严格把关，按照相关标准进行验收，保障了整体部门的有效运转。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（3）产出进度</w:t>
      </w:r>
    </w:p>
    <w:p>
      <w:pPr>
        <w:pStyle w:val="2"/>
        <w:ind w:firstLine="42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在2022年12月31日前如期完成整体绩效目标。</w:t>
      </w:r>
    </w:p>
    <w:p>
      <w:pPr>
        <w:pStyle w:val="2"/>
        <w:ind w:firstLine="56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（4）产出成本</w:t>
      </w:r>
    </w:p>
    <w:p>
      <w:pPr>
        <w:pStyle w:val="2"/>
        <w:ind w:firstLine="56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通过招投标等方式有效进行成本控制，2022年度项目成本按照绩效目标控制在2,100.84万元。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2、效果实现情况分析</w:t>
      </w:r>
    </w:p>
    <w:p>
      <w:pPr>
        <w:pStyle w:val="2"/>
        <w:ind w:firstLine="560"/>
      </w:pPr>
      <w:r>
        <w:rPr>
          <w:rFonts w:hint="eastAsia" w:ascii="仿宋_GB2312" w:hAnsi="仿宋_GB2312" w:eastAsia="仿宋_GB2312" w:cs="仿宋_GB2312"/>
          <w:sz w:val="28"/>
          <w:szCs w:val="28"/>
        </w:rPr>
        <w:t>在我市支援合作工作推进和业务督导中取得了较好的社会效益。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部门绩效自评工作是全过程绩效管理的重要组成部分，是市财政大力推行的一项重点工作，各级领导对此高度重视，全力配合此项工作的开展。根据《北京市财政局关于开展2022年绩效自评工作的通知》的要求，</w:t>
      </w: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市支援合作办</w:t>
      </w:r>
      <w:r>
        <w:rPr>
          <w:rFonts w:hint="eastAsia" w:ascii="仿宋_GB2312" w:hAnsi="仿宋_GB2312" w:eastAsia="仿宋_GB2312" w:cs="仿宋_GB2312"/>
          <w:sz w:val="28"/>
          <w:szCs w:val="28"/>
        </w:rPr>
        <w:t>成立评价工作组，进行本次部门绩效自评工作。</w:t>
      </w:r>
    </w:p>
    <w:p>
      <w:pPr>
        <w:pStyle w:val="2"/>
        <w:ind w:firstLine="42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（四）预算管理情况分析</w:t>
      </w:r>
    </w:p>
    <w:p>
      <w:pPr>
        <w:spacing w:line="560" w:lineRule="exact"/>
        <w:ind w:left="275" w:leftChars="131" w:firstLine="840" w:firstLineChars="3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预算绩效管理主体责任的落实情况及工作开展情况，绩效指标的建设及完成情况、成本控制和绩效管理取得的实际效果。</w:t>
      </w:r>
    </w:p>
    <w:p>
      <w:pPr>
        <w:pStyle w:val="2"/>
        <w:numPr>
          <w:ilvl w:val="0"/>
          <w:numId w:val="4"/>
        </w:numPr>
        <w:ind w:firstLineChars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财务管理</w:t>
      </w:r>
    </w:p>
    <w:p>
      <w:pPr>
        <w:spacing w:line="560" w:lineRule="exact"/>
        <w:ind w:left="275" w:leftChars="131" w:firstLine="840" w:firstLineChars="3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进一步加强和规范了预算资金管理，建立健全事前监督机制，遵循“统一领导分级管理、权责结合”的原则，统筹合理安排各项支出。</w:t>
      </w:r>
    </w:p>
    <w:p>
      <w:pPr>
        <w:pStyle w:val="2"/>
        <w:numPr>
          <w:ilvl w:val="0"/>
          <w:numId w:val="4"/>
        </w:numPr>
        <w:ind w:firstLineChars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资产管理</w:t>
      </w:r>
    </w:p>
    <w:p>
      <w:pPr>
        <w:pStyle w:val="2"/>
        <w:ind w:firstLine="0" w:firstLineChars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对国有资产实施监督管理，结合单位实际情况，提高了资产使用效率，维护了资产的安全和完整，保证单位生产、生活的正常进行和各项事业的顺利发展。</w:t>
      </w:r>
    </w:p>
    <w:p>
      <w:pPr>
        <w:pStyle w:val="2"/>
        <w:numPr>
          <w:ilvl w:val="0"/>
          <w:numId w:val="4"/>
        </w:numPr>
        <w:ind w:firstLineChars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绩效管理</w:t>
      </w:r>
    </w:p>
    <w:p>
      <w:pPr>
        <w:pStyle w:val="2"/>
        <w:ind w:firstLine="840" w:firstLineChars="3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市支援合作办</w:t>
      </w:r>
      <w:r>
        <w:rPr>
          <w:rFonts w:hint="eastAsia" w:ascii="仿宋_GB2312" w:hAnsi="仿宋_GB2312" w:eastAsia="仿宋_GB2312" w:cs="仿宋_GB2312"/>
          <w:sz w:val="28"/>
          <w:szCs w:val="28"/>
        </w:rPr>
        <w:t>按照财政要求严格进行绩效管理工作。按照市财政要求，2021年度完成所有绩效评价工作，总体完成情况较好。通过对31个项目进行绩效评价，从总体评价结果来看，各项目能够较好地按照预算编制要求完成，绩效目标设定较为合理、清晰，各项目标及指标的完成情况较好，项目执行过程规范，符合相关制度要求，项目执行金额能够控制在年初预算范围内，项目效果基本达到预定目标。</w:t>
      </w:r>
    </w:p>
    <w:p>
      <w:pPr>
        <w:pStyle w:val="2"/>
        <w:numPr>
          <w:ilvl w:val="0"/>
          <w:numId w:val="4"/>
        </w:numPr>
        <w:ind w:firstLineChars="0"/>
        <w:rPr>
          <w:rFonts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结转结余率  </w:t>
      </w:r>
    </w:p>
    <w:p>
      <w:pPr>
        <w:pStyle w:val="2"/>
        <w:ind w:left="810" w:firstLine="0" w:firstLineChars="0"/>
        <w:rPr>
          <w:rFonts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2022年度结转结余率为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10.51%。</w:t>
      </w:r>
    </w:p>
    <w:p>
      <w:pPr>
        <w:pStyle w:val="2"/>
        <w:numPr>
          <w:ilvl w:val="0"/>
          <w:numId w:val="4"/>
        </w:numPr>
        <w:ind w:firstLineChars="0"/>
        <w:rPr>
          <w:rFonts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部门预决算差异率</w:t>
      </w:r>
    </w:p>
    <w:p>
      <w:pPr>
        <w:pStyle w:val="2"/>
        <w:ind w:left="810" w:firstLine="0" w:firstLineChars="0"/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2022年度部门预决算差异率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10.27%。</w:t>
      </w:r>
    </w:p>
    <w:p>
      <w:pPr>
        <w:pStyle w:val="2"/>
        <w:ind w:firstLine="42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（五）总体评价情况</w:t>
      </w:r>
    </w:p>
    <w:p>
      <w:pPr>
        <w:spacing w:line="560" w:lineRule="exact"/>
        <w:ind w:left="280"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2023年，</w:t>
      </w: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市支援合作办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对2022年度部门项目支出实施了绩效评价，评价项目25个，占部门项目总数的96.15%，涉及金额2,092.84万元。其中，部门评价项目1个，涉及金额205.8万元，评价得分在90（含）-100分之间。单位自评项目24个，涉及金额1,887.04万元，评价得分在90（含）-100分的24个。 </w:t>
      </w:r>
    </w:p>
    <w:p>
      <w:pPr>
        <w:spacing w:line="560" w:lineRule="exact"/>
        <w:ind w:left="64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取得的经验及存在问题：</w:t>
      </w:r>
    </w:p>
    <w:p>
      <w:pPr>
        <w:widowControl/>
        <w:spacing w:line="560" w:lineRule="exact"/>
        <w:ind w:left="640"/>
        <w:rPr>
          <w:rFonts w:ascii="仿宋_GB2312" w:hAnsi="仿宋_GB2312" w:eastAsia="仿宋_GB2312" w:cs="仿宋_GB2312"/>
          <w:sz w:val="28"/>
          <w:szCs w:val="28"/>
        </w:rPr>
      </w:pPr>
      <w:bookmarkStart w:id="0" w:name="_Toc10191653"/>
      <w:r>
        <w:rPr>
          <w:rFonts w:hint="eastAsia" w:ascii="仿宋_GB2312" w:hAnsi="仿宋_GB2312" w:eastAsia="仿宋_GB2312" w:cs="仿宋_GB2312"/>
          <w:sz w:val="28"/>
          <w:szCs w:val="28"/>
        </w:rPr>
        <w:t>1. 主要经验</w:t>
      </w:r>
      <w:bookmarkEnd w:id="0"/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本次部门绩效自评工作在领导高度重视的基础上，各部门同力协作，</w:t>
      </w: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市支援合作办</w:t>
      </w:r>
      <w:r>
        <w:rPr>
          <w:rFonts w:hint="eastAsia" w:ascii="仿宋_GB2312" w:hAnsi="仿宋_GB2312" w:eastAsia="仿宋_GB2312" w:cs="仿宋_GB2312"/>
          <w:sz w:val="28"/>
          <w:szCs w:val="28"/>
        </w:rPr>
        <w:t>组成评价工作组，负责组织开展此次部门绩效自评工作。评价组按照相关职责分工，提供基础性资料、接受沟通访谈，保障了部门绩效自评工作的顺利推进。</w:t>
      </w:r>
    </w:p>
    <w:p>
      <w:pPr>
        <w:widowControl/>
        <w:numPr>
          <w:ilvl w:val="0"/>
          <w:numId w:val="5"/>
        </w:numPr>
        <w:spacing w:line="56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存在问题</w:t>
      </w:r>
    </w:p>
    <w:p>
      <w:pPr>
        <w:widowControl/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（1）项目绩效申报表中个别指标不够量化细化。</w:t>
      </w:r>
    </w:p>
    <w:p>
      <w:pPr>
        <w:widowControl/>
        <w:numPr>
          <w:ilvl w:val="0"/>
          <w:numId w:val="6"/>
        </w:numPr>
        <w:spacing w:line="56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项目管理制度较为粗糙，监督和绩效管理等方面有所欠缺。</w:t>
      </w:r>
    </w:p>
    <w:p>
      <w:pPr>
        <w:widowControl/>
        <w:numPr>
          <w:ilvl w:val="0"/>
          <w:numId w:val="6"/>
        </w:numPr>
        <w:spacing w:line="56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成本预算准确度有待提高。       </w:t>
      </w:r>
    </w:p>
    <w:p>
      <w:pPr>
        <w:spacing w:line="560" w:lineRule="exact"/>
        <w:ind w:left="64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（六）下一步工作措施或建议</w:t>
      </w:r>
    </w:p>
    <w:p>
      <w:pPr>
        <w:spacing w:line="560" w:lineRule="exact"/>
        <w:ind w:left="280"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针对此次部门绩效自评中显现的问题，</w:t>
      </w: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市支援合作办</w:t>
      </w:r>
      <w:r>
        <w:rPr>
          <w:rFonts w:hint="eastAsia" w:ascii="仿宋_GB2312" w:hAnsi="仿宋_GB2312" w:eastAsia="仿宋_GB2312" w:cs="仿宋_GB2312"/>
          <w:sz w:val="28"/>
          <w:szCs w:val="28"/>
        </w:rPr>
        <w:t>高度重视，将组织相关部门尽快落实整改，完善项目管理实施各个环节，提高项目管理水平，保证项目绩效产出。</w:t>
      </w:r>
    </w:p>
    <w:p>
      <w:pPr>
        <w:widowControl/>
        <w:spacing w:line="560" w:lineRule="exact"/>
        <w:ind w:firstLine="840" w:firstLineChars="3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主要从以下几方面开展工作：</w:t>
      </w:r>
    </w:p>
    <w:p>
      <w:pPr>
        <w:widowControl/>
        <w:spacing w:line="560" w:lineRule="exact"/>
        <w:ind w:firstLine="840" w:firstLineChars="3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 建议科学设定各项指标；增强指标确定的科学性；完善项目绩效申报文本的填报信息。</w:t>
      </w:r>
    </w:p>
    <w:p>
      <w:pPr>
        <w:widowControl/>
        <w:spacing w:line="560" w:lineRule="exact"/>
        <w:ind w:firstLine="840" w:firstLineChars="3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 健全制度体系，进一步提高项目管理水平</w:t>
      </w:r>
    </w:p>
    <w:p>
      <w:pPr>
        <w:widowControl/>
        <w:spacing w:line="560" w:lineRule="exact"/>
        <w:ind w:left="630" w:leftChars="300"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健全项目管理制度，通过规范化的制度设计，加强项目组织实施管理、监督考核等过程管理工作，强化项目后续的跟踪管理，保证项目绩效的可持续性和可行性。</w:t>
      </w:r>
    </w:p>
    <w:p>
      <w:pPr>
        <w:pStyle w:val="2"/>
        <w:spacing w:line="580" w:lineRule="exact"/>
        <w:ind w:firstLine="840" w:firstLineChars="300"/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 科学制定预算成本。</w:t>
      </w:r>
    </w:p>
    <w:p>
      <w:pPr>
        <w:pStyle w:val="2"/>
        <w:ind w:firstLine="0" w:firstLineChars="0"/>
        <w:rPr>
          <w:rFonts w:hint="eastAsia"/>
        </w:rPr>
      </w:pPr>
    </w:p>
    <w:p>
      <w:pPr>
        <w:pStyle w:val="2"/>
        <w:ind w:firstLine="0" w:firstLineChars="0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FFB472"/>
    <w:multiLevelType w:val="singleLevel"/>
    <w:tmpl w:val="D7FFB472"/>
    <w:lvl w:ilvl="0" w:tentative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abstractNum w:abstractNumId="1">
    <w:nsid w:val="0C5C5C00"/>
    <w:multiLevelType w:val="multilevel"/>
    <w:tmpl w:val="0C5C5C00"/>
    <w:lvl w:ilvl="0" w:tentative="0">
      <w:start w:val="1"/>
      <w:numFmt w:val="japaneseCounting"/>
      <w:lvlText w:val="（%1）"/>
      <w:lvlJc w:val="left"/>
      <w:pPr>
        <w:ind w:left="1310" w:hanging="7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0D9C5B41"/>
    <w:multiLevelType w:val="multilevel"/>
    <w:tmpl w:val="0D9C5B41"/>
    <w:lvl w:ilvl="0" w:tentative="0">
      <w:start w:val="1"/>
      <w:numFmt w:val="decimal"/>
      <w:lvlText w:val="%1．"/>
      <w:lvlJc w:val="left"/>
      <w:pPr>
        <w:ind w:left="153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50" w:hanging="420"/>
      </w:pPr>
    </w:lvl>
    <w:lvl w:ilvl="2" w:tentative="0">
      <w:start w:val="1"/>
      <w:numFmt w:val="lowerRoman"/>
      <w:lvlText w:val="%3."/>
      <w:lvlJc w:val="right"/>
      <w:pPr>
        <w:ind w:left="2070" w:hanging="420"/>
      </w:pPr>
    </w:lvl>
    <w:lvl w:ilvl="3" w:tentative="0">
      <w:start w:val="1"/>
      <w:numFmt w:val="decimal"/>
      <w:lvlText w:val="%4."/>
      <w:lvlJc w:val="left"/>
      <w:pPr>
        <w:ind w:left="2490" w:hanging="420"/>
      </w:pPr>
    </w:lvl>
    <w:lvl w:ilvl="4" w:tentative="0">
      <w:start w:val="1"/>
      <w:numFmt w:val="lowerLetter"/>
      <w:lvlText w:val="%5)"/>
      <w:lvlJc w:val="left"/>
      <w:pPr>
        <w:ind w:left="2910" w:hanging="420"/>
      </w:pPr>
    </w:lvl>
    <w:lvl w:ilvl="5" w:tentative="0">
      <w:start w:val="1"/>
      <w:numFmt w:val="lowerRoman"/>
      <w:lvlText w:val="%6."/>
      <w:lvlJc w:val="right"/>
      <w:pPr>
        <w:ind w:left="3330" w:hanging="420"/>
      </w:pPr>
    </w:lvl>
    <w:lvl w:ilvl="6" w:tentative="0">
      <w:start w:val="1"/>
      <w:numFmt w:val="decimal"/>
      <w:lvlText w:val="%7."/>
      <w:lvlJc w:val="left"/>
      <w:pPr>
        <w:ind w:left="3750" w:hanging="420"/>
      </w:pPr>
    </w:lvl>
    <w:lvl w:ilvl="7" w:tentative="0">
      <w:start w:val="1"/>
      <w:numFmt w:val="lowerLetter"/>
      <w:lvlText w:val="%8)"/>
      <w:lvlJc w:val="left"/>
      <w:pPr>
        <w:ind w:left="4170" w:hanging="420"/>
      </w:pPr>
    </w:lvl>
    <w:lvl w:ilvl="8" w:tentative="0">
      <w:start w:val="1"/>
      <w:numFmt w:val="lowerRoman"/>
      <w:lvlText w:val="%9."/>
      <w:lvlJc w:val="right"/>
      <w:pPr>
        <w:ind w:left="4590" w:hanging="420"/>
      </w:pPr>
    </w:lvl>
  </w:abstractNum>
  <w:abstractNum w:abstractNumId="3">
    <w:nsid w:val="3F1B3C23"/>
    <w:multiLevelType w:val="multilevel"/>
    <w:tmpl w:val="3F1B3C23"/>
    <w:lvl w:ilvl="0" w:tentative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4">
    <w:nsid w:val="44801258"/>
    <w:multiLevelType w:val="multilevel"/>
    <w:tmpl w:val="44801258"/>
    <w:lvl w:ilvl="0" w:tentative="0">
      <w:start w:val="2"/>
      <w:numFmt w:val="decimal"/>
      <w:lvlText w:val="（%1）"/>
      <w:lvlJc w:val="left"/>
      <w:pPr>
        <w:ind w:left="1295" w:hanging="73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abstractNum w:abstractNumId="5">
    <w:nsid w:val="6E713893"/>
    <w:multiLevelType w:val="multilevel"/>
    <w:tmpl w:val="6E713893"/>
    <w:lvl w:ilvl="0" w:tentative="0">
      <w:start w:val="2"/>
      <w:numFmt w:val="decimal"/>
      <w:lvlText w:val="%1."/>
      <w:lvlJc w:val="left"/>
      <w:pPr>
        <w:ind w:left="10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4ZGQzMjNlMGMyNWMxMjQ4ZTQxMGU4MGJkYzM1ODEifQ=="/>
  </w:docVars>
  <w:rsids>
    <w:rsidRoot w:val="00C22AF1"/>
    <w:rsid w:val="000471AF"/>
    <w:rsid w:val="0008700E"/>
    <w:rsid w:val="00093997"/>
    <w:rsid w:val="000B203F"/>
    <w:rsid w:val="00140912"/>
    <w:rsid w:val="00147823"/>
    <w:rsid w:val="001D23CD"/>
    <w:rsid w:val="0025284E"/>
    <w:rsid w:val="0027158E"/>
    <w:rsid w:val="002B7487"/>
    <w:rsid w:val="00320592"/>
    <w:rsid w:val="00364D35"/>
    <w:rsid w:val="003E49DD"/>
    <w:rsid w:val="00585B08"/>
    <w:rsid w:val="00617339"/>
    <w:rsid w:val="0067308C"/>
    <w:rsid w:val="006D6EC6"/>
    <w:rsid w:val="00703569"/>
    <w:rsid w:val="0072697B"/>
    <w:rsid w:val="00847585"/>
    <w:rsid w:val="008C55C0"/>
    <w:rsid w:val="009A2FF3"/>
    <w:rsid w:val="009D1ED5"/>
    <w:rsid w:val="00A27AFA"/>
    <w:rsid w:val="00A9380F"/>
    <w:rsid w:val="00B531C5"/>
    <w:rsid w:val="00BD2FB1"/>
    <w:rsid w:val="00C10F83"/>
    <w:rsid w:val="00C22AF1"/>
    <w:rsid w:val="00C7035A"/>
    <w:rsid w:val="00CE57C3"/>
    <w:rsid w:val="00D11FA7"/>
    <w:rsid w:val="00D35C1C"/>
    <w:rsid w:val="00E00EE2"/>
    <w:rsid w:val="00FE34B4"/>
    <w:rsid w:val="03416A25"/>
    <w:rsid w:val="0C3C63E3"/>
    <w:rsid w:val="25D350EF"/>
    <w:rsid w:val="3EB41273"/>
    <w:rsid w:val="53EB7276"/>
    <w:rsid w:val="5D4378A0"/>
    <w:rsid w:val="65CE6D3B"/>
    <w:rsid w:val="6C6B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unhideWhenUsed/>
    <w:qFormat/>
    <w:uiPriority w:val="39"/>
    <w:pPr>
      <w:ind w:left="420" w:leftChars="200"/>
    </w:pPr>
    <w:rPr>
      <w:rFonts w:asciiTheme="minorHAnsi" w:hAnsiTheme="minorHAnsi" w:eastAsiaTheme="minorEastAsia" w:cstheme="minorBidi"/>
      <w:szCs w:val="22"/>
    </w:r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paragraph" w:styleId="11">
    <w:name w:val="List Paragraph"/>
    <w:basedOn w:val="1"/>
    <w:unhideWhenUsed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2">
    <w:name w:val="标题 1 Char"/>
    <w:basedOn w:val="8"/>
    <w:link w:val="3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2444</Words>
  <Characters>2558</Characters>
  <Lines>325</Lines>
  <Paragraphs>91</Paragraphs>
  <TotalTime>0</TotalTime>
  <ScaleCrop>false</ScaleCrop>
  <LinksUpToDate>false</LinksUpToDate>
  <CharactersWithSpaces>2593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2023-06-07T15:13:00Z</dcterms:created>
  <dc:creator>Jessica</dc:creator>
  <cp:lastModifiedBy>user</cp:lastModifiedBy>
  <dcterms:modified xsi:type="dcterms:W3CDTF">2023-08-22T09:48:47Z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7F6FE378B6964758B38E2F04294D35E7</vt:lpwstr>
  </property>
</Properties>
</file>