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简体" w:eastAsia="方正小标宋简体"/>
          <w:sz w:val="36"/>
          <w:szCs w:val="36"/>
        </w:rPr>
      </w:pPr>
    </w:p>
    <w:p>
      <w:pPr>
        <w:spacing w:line="560" w:lineRule="exact"/>
        <w:jc w:val="center"/>
        <w:outlineLvl w:val="0"/>
        <w:rPr>
          <w:rFonts w:hint="eastAsia" w:ascii="方正小标宋简体" w:eastAsia="方正小标宋简体"/>
          <w:sz w:val="36"/>
          <w:szCs w:val="36"/>
          <w:lang w:eastAsia="zh-CN"/>
        </w:rPr>
      </w:pPr>
      <w:bookmarkStart w:id="0" w:name="_Toc20248"/>
      <w:bookmarkStart w:id="1" w:name="_Toc31230"/>
      <w:r>
        <w:rPr>
          <w:rFonts w:hint="eastAsia" w:ascii="方正小标宋简体" w:eastAsia="方正小标宋简体"/>
          <w:sz w:val="36"/>
          <w:szCs w:val="36"/>
          <w:lang w:eastAsia="zh-CN"/>
        </w:rPr>
        <w:t>北京市通州区人民检察院</w:t>
      </w:r>
      <w:bookmarkEnd w:id="0"/>
      <w:bookmarkEnd w:id="1"/>
    </w:p>
    <w:p>
      <w:pPr>
        <w:spacing w:line="560" w:lineRule="exact"/>
        <w:jc w:val="center"/>
        <w:outlineLvl w:val="0"/>
        <w:rPr>
          <w:rFonts w:hint="eastAsia" w:ascii="方正小标宋简体" w:eastAsia="方正小标宋简体"/>
          <w:sz w:val="36"/>
          <w:szCs w:val="36"/>
        </w:rPr>
      </w:pPr>
      <w:bookmarkStart w:id="2" w:name="_Toc21394"/>
      <w:bookmarkStart w:id="3" w:name="_Toc30173"/>
      <w:bookmarkStart w:id="4" w:name="_Toc5316"/>
      <w:bookmarkStart w:id="5" w:name="_Toc5318"/>
      <w:bookmarkStart w:id="6" w:name="_Toc23400"/>
      <w:r>
        <w:rPr>
          <w:rFonts w:hint="eastAsia" w:ascii="方正小标宋简体" w:eastAsia="方正小标宋简体"/>
          <w:sz w:val="36"/>
          <w:szCs w:val="36"/>
          <w:lang w:val="en-US" w:eastAsia="zh-CN"/>
        </w:rPr>
        <w:t>2022年度</w:t>
      </w:r>
      <w:r>
        <w:rPr>
          <w:rFonts w:hint="eastAsia" w:ascii="方正小标宋简体" w:eastAsia="方正小标宋简体"/>
          <w:sz w:val="36"/>
          <w:szCs w:val="36"/>
        </w:rPr>
        <w:t>部门整体绩效</w:t>
      </w:r>
      <w:r>
        <w:rPr>
          <w:rFonts w:hint="eastAsia" w:ascii="方正小标宋简体" w:eastAsia="方正小标宋简体"/>
          <w:sz w:val="36"/>
          <w:szCs w:val="36"/>
          <w:lang w:eastAsia="zh-CN"/>
        </w:rPr>
        <w:t>评价</w:t>
      </w:r>
      <w:r>
        <w:rPr>
          <w:rFonts w:hint="eastAsia" w:ascii="方正小标宋简体" w:eastAsia="方正小标宋简体"/>
          <w:sz w:val="36"/>
          <w:szCs w:val="36"/>
        </w:rPr>
        <w:t>报告</w:t>
      </w:r>
      <w:bookmarkEnd w:id="2"/>
      <w:bookmarkEnd w:id="3"/>
      <w:bookmarkEnd w:id="4"/>
      <w:bookmarkEnd w:id="5"/>
      <w:bookmarkEnd w:id="6"/>
    </w:p>
    <w:p>
      <w:pPr>
        <w:jc w:val="center"/>
        <w:rPr>
          <w:rFonts w:ascii="仿宋_GB2312"/>
          <w:szCs w:val="30"/>
        </w:rPr>
      </w:pPr>
    </w:p>
    <w:p>
      <w:pPr>
        <w:spacing w:line="600" w:lineRule="exact"/>
        <w:ind w:firstLine="640" w:firstLineChars="200"/>
        <w:outlineLvl w:val="0"/>
        <w:rPr>
          <w:rFonts w:hint="eastAsia" w:ascii="黑体" w:hAnsi="黑体" w:eastAsia="黑体" w:cs="宋体"/>
          <w:color w:val="000000"/>
          <w:kern w:val="0"/>
          <w:sz w:val="32"/>
          <w:szCs w:val="32"/>
        </w:rPr>
      </w:pPr>
      <w:bookmarkStart w:id="7" w:name="_Toc8942"/>
      <w:bookmarkStart w:id="8" w:name="_Toc20561"/>
      <w:bookmarkStart w:id="9" w:name="_Toc32148"/>
      <w:bookmarkStart w:id="10" w:name="_Toc31264"/>
      <w:r>
        <w:rPr>
          <w:rFonts w:hint="eastAsia" w:ascii="黑体" w:hAnsi="黑体" w:eastAsia="黑体" w:cs="宋体"/>
          <w:color w:val="000000"/>
          <w:kern w:val="0"/>
          <w:sz w:val="32"/>
          <w:szCs w:val="32"/>
        </w:rPr>
        <w:t>一、部门概况</w:t>
      </w:r>
      <w:bookmarkEnd w:id="7"/>
      <w:bookmarkEnd w:id="8"/>
      <w:bookmarkEnd w:id="9"/>
      <w:bookmarkEnd w:id="10"/>
    </w:p>
    <w:p>
      <w:pPr>
        <w:spacing w:line="600" w:lineRule="exact"/>
        <w:ind w:firstLine="640" w:firstLineChars="200"/>
        <w:outlineLvl w:val="1"/>
        <w:rPr>
          <w:rFonts w:hint="eastAsia" w:ascii="楷体_GB2312" w:eastAsia="楷体_GB2312"/>
          <w:sz w:val="32"/>
          <w:szCs w:val="32"/>
        </w:rPr>
      </w:pPr>
      <w:bookmarkStart w:id="11" w:name="_Toc3082"/>
      <w:bookmarkStart w:id="12" w:name="_Toc19565"/>
      <w:bookmarkStart w:id="13" w:name="_Toc5162"/>
      <w:bookmarkStart w:id="14" w:name="_Toc26578"/>
      <w:r>
        <w:rPr>
          <w:rFonts w:hint="eastAsia" w:ascii="楷体_GB2312" w:eastAsia="楷体_GB2312"/>
          <w:sz w:val="32"/>
          <w:szCs w:val="32"/>
        </w:rPr>
        <w:t>（一）机构设置及职责工作任务情况</w:t>
      </w:r>
      <w:bookmarkEnd w:id="11"/>
      <w:bookmarkEnd w:id="12"/>
      <w:bookmarkEnd w:id="13"/>
      <w:bookmarkEnd w:id="14"/>
    </w:p>
    <w:p>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val="en-US" w:eastAsia="zh-CN"/>
        </w:rPr>
        <w:t>我院</w:t>
      </w:r>
      <w:r>
        <w:rPr>
          <w:rFonts w:hint="eastAsia" w:ascii="仿宋_GB2312" w:hAnsi="仿宋_GB2312" w:eastAsia="仿宋_GB2312" w:cs="仿宋_GB2312"/>
          <w:bCs/>
          <w:sz w:val="32"/>
          <w:szCs w:val="32"/>
        </w:rPr>
        <w:t>成立于1978年8月。主要职责为依照宪法和法律的规定，履行法律监督职能，保证国家法律的统一正确实施。</w:t>
      </w:r>
    </w:p>
    <w:p>
      <w:pPr>
        <w:spacing w:line="560" w:lineRule="exact"/>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rPr>
        <w:t>单位行政类型为一类行政单位；预算级次为</w:t>
      </w:r>
      <w:r>
        <w:rPr>
          <w:rFonts w:hint="eastAsia" w:ascii="仿宋_GB2312" w:hAnsi="仿宋_GB2312" w:eastAsia="仿宋_GB2312" w:cs="仿宋_GB2312"/>
          <w:bCs/>
          <w:sz w:val="32"/>
          <w:szCs w:val="32"/>
          <w:lang w:val="en-US" w:eastAsia="zh-CN"/>
        </w:rPr>
        <w:t>省</w:t>
      </w:r>
      <w:r>
        <w:rPr>
          <w:rFonts w:hint="eastAsia" w:ascii="仿宋_GB2312" w:hAnsi="仿宋_GB2312" w:eastAsia="仿宋_GB2312" w:cs="仿宋_GB2312"/>
          <w:bCs/>
          <w:sz w:val="32"/>
          <w:szCs w:val="32"/>
        </w:rPr>
        <w:t>级；根据2019年3月中共北京市委政法委员会、中共北京市委机构编制委员会办公室、北京市人民检察院关于印发《北京市检察机关内设机构改革方案》的通知，</w:t>
      </w:r>
      <w:r>
        <w:rPr>
          <w:rFonts w:hint="eastAsia" w:ascii="仿宋_GB2312" w:hAnsi="仿宋_GB2312" w:eastAsia="仿宋_GB2312" w:cs="仿宋_GB2312"/>
          <w:bCs/>
          <w:sz w:val="32"/>
          <w:szCs w:val="32"/>
          <w:lang w:val="en-US" w:eastAsia="zh-CN"/>
        </w:rPr>
        <w:t>我院调整</w:t>
      </w:r>
      <w:r>
        <w:rPr>
          <w:rFonts w:hint="eastAsia" w:ascii="仿宋_GB2312" w:hAnsi="仿宋_GB2312" w:eastAsia="仿宋_GB2312" w:cs="仿宋_GB2312"/>
          <w:bCs/>
          <w:sz w:val="32"/>
          <w:szCs w:val="32"/>
        </w:rPr>
        <w:t>内设机构</w:t>
      </w:r>
      <w:r>
        <w:rPr>
          <w:rFonts w:hint="eastAsia" w:ascii="仿宋_GB2312" w:hAnsi="仿宋_GB2312" w:eastAsia="仿宋_GB2312" w:cs="仿宋_GB2312"/>
          <w:bCs/>
          <w:sz w:val="32"/>
          <w:szCs w:val="32"/>
          <w:lang w:val="en-US" w:eastAsia="zh-CN"/>
        </w:rPr>
        <w:t>为</w:t>
      </w:r>
      <w:r>
        <w:rPr>
          <w:rFonts w:hint="eastAsia" w:ascii="仿宋_GB2312" w:hAnsi="仿宋_GB2312" w:eastAsia="仿宋_GB2312" w:cs="仿宋_GB2312"/>
          <w:bCs/>
          <w:sz w:val="32"/>
          <w:szCs w:val="32"/>
        </w:rPr>
        <w:t>11个，分别为：办公室（行政事务管理部）、政治部（机关党委、机关纪委）、第一检察部、第二检察部、第三检察部、第四检察部、第五检察部、第六检察部、第七检察部、</w:t>
      </w:r>
      <w:r>
        <w:rPr>
          <w:rFonts w:hint="eastAsia" w:ascii="仿宋_GB2312" w:hAnsi="仿宋_GB2312" w:eastAsia="仿宋_GB2312" w:cs="仿宋_GB2312"/>
          <w:bCs/>
          <w:sz w:val="32"/>
          <w:szCs w:val="32"/>
          <w:highlight w:val="none"/>
        </w:rPr>
        <w:t>第八检察部（法律政策研究室）、检务督察部。</w:t>
      </w:r>
    </w:p>
    <w:p>
      <w:pPr>
        <w:spacing w:line="560" w:lineRule="exact"/>
        <w:ind w:firstLine="640" w:firstLineChars="200"/>
        <w:rPr>
          <w:rFonts w:hint="eastAsia"/>
          <w:highlight w:val="none"/>
          <w:lang w:val="en-US" w:eastAsia="zh-CN"/>
        </w:rPr>
      </w:pPr>
      <w:r>
        <w:rPr>
          <w:rFonts w:hint="eastAsia" w:ascii="仿宋_GB2312" w:hAnsi="仿宋_GB2312" w:eastAsia="仿宋_GB2312" w:cs="仿宋_GB2312"/>
          <w:bCs/>
          <w:sz w:val="32"/>
          <w:szCs w:val="32"/>
          <w:highlight w:val="none"/>
          <w:lang w:val="en-US" w:eastAsia="zh-CN"/>
        </w:rPr>
        <w:t>我院行政编制201人，实际年末在职人员161人；事业编制13人，实际年末在职人员12人。</w:t>
      </w:r>
    </w:p>
    <w:p>
      <w:pPr>
        <w:numPr>
          <w:ilvl w:val="0"/>
          <w:numId w:val="1"/>
        </w:numPr>
        <w:spacing w:line="600" w:lineRule="exact"/>
        <w:ind w:firstLine="640" w:firstLineChars="200"/>
        <w:outlineLvl w:val="1"/>
        <w:rPr>
          <w:rFonts w:hint="eastAsia" w:ascii="楷体_GB2312" w:eastAsia="楷体_GB2312"/>
          <w:sz w:val="32"/>
          <w:szCs w:val="32"/>
          <w:highlight w:val="none"/>
        </w:rPr>
      </w:pPr>
      <w:bookmarkStart w:id="15" w:name="_Toc9257"/>
      <w:bookmarkStart w:id="16" w:name="_Toc24620"/>
      <w:bookmarkStart w:id="17" w:name="_Toc8650"/>
      <w:bookmarkStart w:id="18" w:name="_Toc7539"/>
      <w:r>
        <w:rPr>
          <w:rFonts w:hint="eastAsia" w:ascii="楷体_GB2312" w:eastAsia="楷体_GB2312"/>
          <w:sz w:val="32"/>
          <w:szCs w:val="32"/>
          <w:highlight w:val="none"/>
        </w:rPr>
        <w:t>部门整体绩效目标设立情况</w:t>
      </w:r>
      <w:bookmarkEnd w:id="15"/>
      <w:bookmarkEnd w:id="16"/>
      <w:bookmarkEnd w:id="17"/>
      <w:bookmarkEnd w:id="18"/>
    </w:p>
    <w:p>
      <w:pPr>
        <w:numPr>
          <w:ilvl w:val="0"/>
          <w:numId w:val="0"/>
        </w:numPr>
        <w:spacing w:line="560" w:lineRule="exact"/>
        <w:ind w:firstLine="641"/>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2022年，我院以坚持以习近平新时代中国特色社会主义思想为指导，全面贯彻党的二十大和十九届二中、三中、四中、五中、六中全会精神，深入践行习近平法治思想，“依法履职、担当作为，为大局服务、为人民司法，扎实推进法治建设，努力为北京城市副中心高质量发展提供司法保障。</w:t>
      </w:r>
    </w:p>
    <w:p>
      <w:pPr>
        <w:numPr>
          <w:ilvl w:val="0"/>
          <w:numId w:val="0"/>
        </w:numPr>
        <w:spacing w:line="560" w:lineRule="exact"/>
        <w:ind w:firstLine="641"/>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2022年设立以下总体绩效目标：一是完成进度在2022年12月31日前；二是依照相关法律法规，全面保障检察工作正常开展；三是严格按照资金支出进度要求，提高资金使用效益，确保支出进度不低于时间进度；四是严格按照预算批复，加强资金监管，提高资金使用效益；五是全面提升办案质效；六是保障单位各方面设施运转的安全性、连续性和稳定性。</w:t>
      </w:r>
    </w:p>
    <w:p>
      <w:pPr>
        <w:spacing w:line="600" w:lineRule="exact"/>
        <w:ind w:firstLine="640" w:firstLineChars="200"/>
        <w:outlineLvl w:val="0"/>
        <w:rPr>
          <w:rFonts w:ascii="黑体" w:hAnsi="黑体" w:eastAsia="黑体" w:cs="宋体"/>
          <w:color w:val="000000"/>
          <w:kern w:val="0"/>
          <w:sz w:val="32"/>
          <w:szCs w:val="32"/>
          <w:highlight w:val="none"/>
        </w:rPr>
      </w:pPr>
      <w:bookmarkStart w:id="19" w:name="_Toc8109"/>
      <w:bookmarkStart w:id="20" w:name="_Toc28668"/>
      <w:bookmarkStart w:id="21" w:name="_Toc8831"/>
      <w:bookmarkStart w:id="22" w:name="_Toc5939"/>
      <w:r>
        <w:rPr>
          <w:rFonts w:hint="eastAsia" w:ascii="黑体" w:hAnsi="黑体" w:eastAsia="黑体" w:cs="宋体"/>
          <w:color w:val="000000"/>
          <w:kern w:val="0"/>
          <w:sz w:val="32"/>
          <w:szCs w:val="32"/>
          <w:highlight w:val="none"/>
        </w:rPr>
        <w:t>二</w:t>
      </w:r>
      <w:r>
        <w:rPr>
          <w:rFonts w:ascii="黑体" w:hAnsi="黑体" w:eastAsia="黑体" w:cs="宋体"/>
          <w:color w:val="000000"/>
          <w:kern w:val="0"/>
          <w:sz w:val="32"/>
          <w:szCs w:val="32"/>
          <w:highlight w:val="none"/>
        </w:rPr>
        <w:t>、</w:t>
      </w:r>
      <w:r>
        <w:rPr>
          <w:rFonts w:hint="eastAsia" w:ascii="黑体" w:hAnsi="黑体" w:eastAsia="黑体" w:cs="宋体"/>
          <w:color w:val="000000"/>
          <w:kern w:val="0"/>
          <w:sz w:val="32"/>
          <w:szCs w:val="32"/>
          <w:highlight w:val="none"/>
        </w:rPr>
        <w:t>当年</w:t>
      </w:r>
      <w:r>
        <w:rPr>
          <w:rFonts w:ascii="黑体" w:hAnsi="黑体" w:eastAsia="黑体" w:cs="宋体"/>
          <w:color w:val="000000"/>
          <w:kern w:val="0"/>
          <w:sz w:val="32"/>
          <w:szCs w:val="32"/>
          <w:highlight w:val="none"/>
        </w:rPr>
        <w:t>预算执行情况</w:t>
      </w:r>
      <w:bookmarkEnd w:id="19"/>
      <w:bookmarkEnd w:id="20"/>
      <w:bookmarkEnd w:id="21"/>
      <w:bookmarkEnd w:id="22"/>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宋体"/>
          <w:color w:val="000000"/>
          <w:kern w:val="0"/>
          <w:sz w:val="32"/>
          <w:szCs w:val="32"/>
          <w:highlight w:val="yellow"/>
          <w:lang w:val="en-US" w:eastAsia="zh-CN"/>
        </w:rPr>
      </w:pPr>
      <w:r>
        <w:rPr>
          <w:rFonts w:hint="eastAsia" w:ascii="仿宋_GB2312" w:hAnsi="宋体" w:eastAsia="仿宋_GB2312" w:cs="宋体"/>
          <w:color w:val="000000"/>
          <w:kern w:val="0"/>
          <w:sz w:val="32"/>
          <w:szCs w:val="32"/>
          <w:highlight w:val="none"/>
        </w:rPr>
        <w:t>202</w:t>
      </w:r>
      <w:r>
        <w:rPr>
          <w:rFonts w:hint="eastAsia" w:ascii="仿宋_GB2312" w:hAnsi="宋体" w:eastAsia="仿宋_GB2312" w:cs="宋体"/>
          <w:color w:val="000000"/>
          <w:kern w:val="0"/>
          <w:sz w:val="32"/>
          <w:szCs w:val="32"/>
          <w:highlight w:val="none"/>
          <w:lang w:val="en-US" w:eastAsia="zh-CN"/>
        </w:rPr>
        <w:t>2</w:t>
      </w:r>
      <w:r>
        <w:rPr>
          <w:rFonts w:hint="eastAsia" w:ascii="仿宋_GB2312" w:hAnsi="宋体" w:eastAsia="仿宋_GB2312" w:cs="宋体"/>
          <w:color w:val="000000"/>
          <w:kern w:val="0"/>
          <w:sz w:val="32"/>
          <w:szCs w:val="32"/>
          <w:highlight w:val="none"/>
        </w:rPr>
        <w:t>年</w:t>
      </w:r>
      <w:r>
        <w:rPr>
          <w:rFonts w:hint="eastAsia" w:ascii="仿宋_GB2312" w:hAnsi="宋体" w:eastAsia="仿宋_GB2312" w:cs="宋体"/>
          <w:color w:val="000000"/>
          <w:kern w:val="0"/>
          <w:sz w:val="32"/>
          <w:szCs w:val="32"/>
          <w:highlight w:val="none"/>
          <w:lang w:val="en-US" w:eastAsia="zh-CN"/>
        </w:rPr>
        <w:t>度，全年</w:t>
      </w:r>
      <w:r>
        <w:rPr>
          <w:rFonts w:hint="eastAsia" w:ascii="仿宋_GB2312" w:hAnsi="宋体" w:eastAsia="仿宋_GB2312" w:cs="宋体"/>
          <w:color w:val="000000"/>
          <w:kern w:val="0"/>
          <w:sz w:val="32"/>
          <w:szCs w:val="32"/>
          <w:highlight w:val="none"/>
        </w:rPr>
        <w:t>预算数</w:t>
      </w:r>
      <w:r>
        <w:rPr>
          <w:rFonts w:hint="eastAsia" w:ascii="仿宋_GB2312" w:hAnsi="宋体" w:eastAsia="仿宋_GB2312" w:cs="宋体"/>
          <w:color w:val="000000"/>
          <w:kern w:val="0"/>
          <w:sz w:val="32"/>
          <w:szCs w:val="32"/>
          <w:highlight w:val="none"/>
          <w:lang w:val="en-US" w:eastAsia="zh-CN"/>
        </w:rPr>
        <w:t>9,499.33</w:t>
      </w:r>
      <w:r>
        <w:rPr>
          <w:rFonts w:hint="eastAsia" w:ascii="仿宋_GB2312" w:hAnsi="宋体" w:eastAsia="仿宋_GB2312" w:cs="宋体"/>
          <w:color w:val="000000"/>
          <w:kern w:val="0"/>
          <w:sz w:val="32"/>
          <w:szCs w:val="32"/>
          <w:highlight w:val="none"/>
        </w:rPr>
        <w:t>万元</w:t>
      </w:r>
      <w:r>
        <w:rPr>
          <w:rFonts w:ascii="仿宋_GB2312" w:hAnsi="宋体" w:eastAsia="仿宋_GB2312" w:cs="宋体"/>
          <w:color w:val="000000"/>
          <w:kern w:val="0"/>
          <w:sz w:val="32"/>
          <w:szCs w:val="32"/>
          <w:highlight w:val="none"/>
        </w:rPr>
        <w:t>，</w:t>
      </w:r>
      <w:r>
        <w:rPr>
          <w:rFonts w:hint="eastAsia" w:ascii="仿宋_GB2312" w:hAnsi="宋体" w:eastAsia="仿宋_GB2312" w:cs="宋体"/>
          <w:color w:val="000000"/>
          <w:kern w:val="0"/>
          <w:sz w:val="32"/>
          <w:szCs w:val="32"/>
          <w:highlight w:val="none"/>
        </w:rPr>
        <w:t>其中</w:t>
      </w:r>
      <w:r>
        <w:rPr>
          <w:rFonts w:ascii="仿宋_GB2312" w:hAnsi="宋体" w:eastAsia="仿宋_GB2312" w:cs="宋体"/>
          <w:color w:val="000000"/>
          <w:kern w:val="0"/>
          <w:sz w:val="32"/>
          <w:szCs w:val="32"/>
          <w:highlight w:val="none"/>
        </w:rPr>
        <w:t>，基本</w:t>
      </w:r>
      <w:r>
        <w:rPr>
          <w:rFonts w:hint="eastAsia" w:ascii="仿宋_GB2312" w:hAnsi="宋体" w:eastAsia="仿宋_GB2312" w:cs="宋体"/>
          <w:color w:val="000000"/>
          <w:kern w:val="0"/>
          <w:sz w:val="32"/>
          <w:szCs w:val="32"/>
          <w:highlight w:val="none"/>
        </w:rPr>
        <w:t>支出</w:t>
      </w:r>
      <w:r>
        <w:rPr>
          <w:rFonts w:ascii="仿宋_GB2312" w:hAnsi="宋体" w:eastAsia="仿宋_GB2312" w:cs="宋体"/>
          <w:color w:val="000000"/>
          <w:kern w:val="0"/>
          <w:sz w:val="32"/>
          <w:szCs w:val="32"/>
          <w:highlight w:val="none"/>
        </w:rPr>
        <w:t>预算数</w:t>
      </w:r>
      <w:r>
        <w:rPr>
          <w:rFonts w:hint="eastAsia" w:ascii="仿宋_GB2312" w:hAnsi="宋体" w:eastAsia="仿宋_GB2312" w:cs="宋体"/>
          <w:color w:val="000000"/>
          <w:kern w:val="0"/>
          <w:sz w:val="32"/>
          <w:szCs w:val="32"/>
          <w:highlight w:val="none"/>
          <w:lang w:val="en-US" w:eastAsia="zh-CN"/>
        </w:rPr>
        <w:t>8,634.33</w:t>
      </w:r>
      <w:r>
        <w:rPr>
          <w:rFonts w:ascii="仿宋_GB2312" w:hAnsi="宋体" w:eastAsia="仿宋_GB2312" w:cs="宋体"/>
          <w:color w:val="000000"/>
          <w:kern w:val="0"/>
          <w:sz w:val="32"/>
          <w:szCs w:val="32"/>
          <w:highlight w:val="none"/>
        </w:rPr>
        <w:t>万元，</w:t>
      </w:r>
      <w:r>
        <w:rPr>
          <w:rFonts w:hint="eastAsia" w:ascii="仿宋_GB2312" w:hAnsi="宋体" w:eastAsia="仿宋_GB2312" w:cs="宋体"/>
          <w:color w:val="000000"/>
          <w:kern w:val="0"/>
          <w:sz w:val="32"/>
          <w:szCs w:val="32"/>
          <w:highlight w:val="none"/>
        </w:rPr>
        <w:t>项目支出预算数</w:t>
      </w:r>
      <w:r>
        <w:rPr>
          <w:rFonts w:hint="eastAsia" w:ascii="仿宋_GB2312" w:hAnsi="宋体" w:eastAsia="仿宋_GB2312" w:cs="宋体"/>
          <w:color w:val="000000"/>
          <w:kern w:val="0"/>
          <w:sz w:val="32"/>
          <w:szCs w:val="32"/>
          <w:highlight w:val="none"/>
          <w:lang w:val="en-US" w:eastAsia="zh-CN"/>
        </w:rPr>
        <w:t>865.00</w:t>
      </w:r>
      <w:r>
        <w:rPr>
          <w:rFonts w:ascii="仿宋_GB2312" w:hAnsi="宋体" w:eastAsia="仿宋_GB2312" w:cs="宋体"/>
          <w:color w:val="000000"/>
          <w:kern w:val="0"/>
          <w:sz w:val="32"/>
          <w:szCs w:val="32"/>
          <w:highlight w:val="none"/>
        </w:rPr>
        <w:t>万元</w:t>
      </w:r>
      <w:r>
        <w:rPr>
          <w:rFonts w:hint="eastAsia" w:ascii="仿宋_GB2312" w:hAnsi="宋体" w:eastAsia="仿宋_GB2312" w:cs="宋体"/>
          <w:color w:val="000000"/>
          <w:kern w:val="0"/>
          <w:sz w:val="32"/>
          <w:szCs w:val="32"/>
          <w:highlight w:val="none"/>
        </w:rPr>
        <w:t>。</w:t>
      </w:r>
      <w:r>
        <w:rPr>
          <w:rFonts w:ascii="仿宋_GB2312" w:hAnsi="宋体" w:eastAsia="仿宋_GB2312" w:cs="宋体"/>
          <w:color w:val="000000"/>
          <w:kern w:val="0"/>
          <w:sz w:val="32"/>
          <w:szCs w:val="32"/>
          <w:highlight w:val="none"/>
        </w:rPr>
        <w:t>资金总体</w:t>
      </w:r>
      <w:r>
        <w:rPr>
          <w:rFonts w:hint="eastAsia" w:ascii="仿宋_GB2312" w:hAnsi="宋体" w:eastAsia="仿宋_GB2312" w:cs="宋体"/>
          <w:color w:val="000000"/>
          <w:kern w:val="0"/>
          <w:sz w:val="32"/>
          <w:szCs w:val="32"/>
          <w:highlight w:val="none"/>
        </w:rPr>
        <w:t>支出</w:t>
      </w:r>
      <w:r>
        <w:rPr>
          <w:rFonts w:hint="eastAsia" w:ascii="仿宋_GB2312" w:hAnsi="宋体" w:eastAsia="仿宋_GB2312" w:cs="宋体"/>
          <w:color w:val="000000"/>
          <w:kern w:val="0"/>
          <w:sz w:val="32"/>
          <w:szCs w:val="32"/>
          <w:highlight w:val="none"/>
          <w:lang w:val="en-US" w:eastAsia="zh-CN"/>
        </w:rPr>
        <w:t>9,213.31</w:t>
      </w:r>
      <w:r>
        <w:rPr>
          <w:rFonts w:ascii="仿宋_GB2312" w:hAnsi="宋体" w:eastAsia="仿宋_GB2312" w:cs="宋体"/>
          <w:color w:val="000000"/>
          <w:kern w:val="0"/>
          <w:sz w:val="32"/>
          <w:szCs w:val="32"/>
          <w:highlight w:val="none"/>
        </w:rPr>
        <w:t>万元，其中，基本支出</w:t>
      </w:r>
      <w:r>
        <w:rPr>
          <w:rFonts w:hint="eastAsia" w:ascii="仿宋_GB2312" w:hAnsi="宋体" w:eastAsia="仿宋_GB2312" w:cs="宋体"/>
          <w:color w:val="000000"/>
          <w:kern w:val="0"/>
          <w:sz w:val="32"/>
          <w:szCs w:val="32"/>
          <w:highlight w:val="none"/>
          <w:lang w:val="en-US" w:eastAsia="zh-CN"/>
        </w:rPr>
        <w:t>8,504.06</w:t>
      </w:r>
      <w:r>
        <w:rPr>
          <w:rFonts w:ascii="仿宋_GB2312" w:hAnsi="宋体" w:eastAsia="仿宋_GB2312" w:cs="宋体"/>
          <w:color w:val="000000"/>
          <w:kern w:val="0"/>
          <w:sz w:val="32"/>
          <w:szCs w:val="32"/>
          <w:highlight w:val="none"/>
        </w:rPr>
        <w:t>万元，项目</w:t>
      </w:r>
      <w:r>
        <w:rPr>
          <w:rFonts w:hint="eastAsia" w:ascii="仿宋_GB2312" w:hAnsi="宋体" w:eastAsia="仿宋_GB2312" w:cs="宋体"/>
          <w:color w:val="000000"/>
          <w:kern w:val="0"/>
          <w:sz w:val="32"/>
          <w:szCs w:val="32"/>
          <w:highlight w:val="none"/>
        </w:rPr>
        <w:t>支出</w:t>
      </w:r>
      <w:r>
        <w:rPr>
          <w:rFonts w:hint="eastAsia" w:ascii="仿宋_GB2312" w:hAnsi="宋体" w:eastAsia="仿宋_GB2312" w:cs="宋体"/>
          <w:color w:val="000000"/>
          <w:kern w:val="0"/>
          <w:sz w:val="32"/>
          <w:szCs w:val="32"/>
          <w:highlight w:val="none"/>
          <w:lang w:val="en-US" w:eastAsia="zh-CN"/>
        </w:rPr>
        <w:t>709.25</w:t>
      </w:r>
      <w:r>
        <w:rPr>
          <w:rFonts w:ascii="仿宋_GB2312" w:hAnsi="宋体" w:eastAsia="仿宋_GB2312" w:cs="宋体"/>
          <w:color w:val="000000"/>
          <w:kern w:val="0"/>
          <w:sz w:val="32"/>
          <w:szCs w:val="32"/>
          <w:highlight w:val="none"/>
        </w:rPr>
        <w:t>万元</w:t>
      </w:r>
      <w:r>
        <w:rPr>
          <w:rFonts w:hint="eastAsia" w:ascii="仿宋_GB2312" w:hAnsi="宋体" w:eastAsia="仿宋_GB2312" w:cs="宋体"/>
          <w:color w:val="000000"/>
          <w:kern w:val="0"/>
          <w:sz w:val="32"/>
          <w:szCs w:val="32"/>
          <w:highlight w:val="none"/>
          <w:lang w:val="en-US" w:eastAsia="zh-CN"/>
        </w:rPr>
        <w:t>，</w:t>
      </w:r>
      <w:r>
        <w:rPr>
          <w:rFonts w:hint="eastAsia" w:ascii="仿宋_GB2312" w:hAnsi="宋体" w:eastAsia="仿宋_GB2312" w:cs="宋体"/>
          <w:color w:val="000000"/>
          <w:kern w:val="0"/>
          <w:sz w:val="32"/>
          <w:szCs w:val="32"/>
          <w:highlight w:val="none"/>
        </w:rPr>
        <w:t>预算</w:t>
      </w:r>
      <w:r>
        <w:rPr>
          <w:rFonts w:ascii="仿宋_GB2312" w:hAnsi="宋体" w:eastAsia="仿宋_GB2312" w:cs="宋体"/>
          <w:color w:val="000000"/>
          <w:kern w:val="0"/>
          <w:sz w:val="32"/>
          <w:szCs w:val="32"/>
          <w:highlight w:val="none"/>
        </w:rPr>
        <w:t>执行率为</w:t>
      </w:r>
      <w:r>
        <w:rPr>
          <w:rFonts w:hint="eastAsia" w:ascii="仿宋_GB2312" w:hAnsi="宋体" w:eastAsia="仿宋_GB2312" w:cs="宋体"/>
          <w:color w:val="000000"/>
          <w:kern w:val="0"/>
          <w:sz w:val="32"/>
          <w:szCs w:val="32"/>
          <w:highlight w:val="none"/>
          <w:lang w:val="en-US" w:eastAsia="zh-CN"/>
        </w:rPr>
        <w:t>96.99%</w:t>
      </w:r>
      <w:r>
        <w:rPr>
          <w:rFonts w:hint="eastAsia" w:ascii="仿宋_GB2312" w:hAnsi="宋体" w:eastAsia="仿宋_GB2312" w:cs="宋体"/>
          <w:color w:val="000000"/>
          <w:kern w:val="0"/>
          <w:sz w:val="32"/>
          <w:szCs w:val="32"/>
          <w:highlight w:val="none"/>
        </w:rPr>
        <w:t>。</w:t>
      </w:r>
    </w:p>
    <w:p>
      <w:pPr>
        <w:spacing w:line="600" w:lineRule="exact"/>
        <w:ind w:left="105" w:leftChars="50" w:firstLine="480" w:firstLineChars="150"/>
        <w:outlineLvl w:val="0"/>
        <w:rPr>
          <w:rFonts w:ascii="黑体" w:hAnsi="黑体" w:eastAsia="黑体" w:cs="宋体"/>
          <w:color w:val="000000"/>
          <w:kern w:val="0"/>
          <w:sz w:val="32"/>
          <w:szCs w:val="32"/>
        </w:rPr>
      </w:pPr>
      <w:bookmarkStart w:id="23" w:name="_Toc5791"/>
      <w:bookmarkStart w:id="24" w:name="_Toc6166"/>
      <w:bookmarkStart w:id="25" w:name="_Toc10510"/>
      <w:bookmarkStart w:id="26" w:name="_Toc25800"/>
      <w:r>
        <w:rPr>
          <w:rFonts w:hint="eastAsia" w:ascii="黑体" w:hAnsi="黑体" w:eastAsia="黑体" w:cs="宋体"/>
          <w:color w:val="000000"/>
          <w:kern w:val="0"/>
          <w:sz w:val="32"/>
          <w:szCs w:val="32"/>
        </w:rPr>
        <w:t>三</w:t>
      </w:r>
      <w:r>
        <w:rPr>
          <w:rFonts w:ascii="黑体" w:hAnsi="黑体" w:eastAsia="黑体" w:cs="宋体"/>
          <w:color w:val="000000"/>
          <w:kern w:val="0"/>
          <w:sz w:val="32"/>
          <w:szCs w:val="32"/>
        </w:rPr>
        <w:t>、整体绩效目标实现情况</w:t>
      </w:r>
      <w:bookmarkEnd w:id="23"/>
      <w:bookmarkEnd w:id="24"/>
      <w:bookmarkEnd w:id="25"/>
      <w:bookmarkEnd w:id="26"/>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宋体" w:eastAsia="仿宋_GB2312" w:cs="宋体"/>
          <w:color w:val="000000"/>
          <w:kern w:val="0"/>
          <w:sz w:val="32"/>
          <w:szCs w:val="32"/>
          <w:highlight w:val="none"/>
          <w:lang w:val="en-US" w:eastAsia="zh-CN"/>
        </w:rPr>
      </w:pPr>
      <w:r>
        <w:rPr>
          <w:rFonts w:hint="default" w:ascii="仿宋_GB2312" w:hAnsi="宋体" w:eastAsia="仿宋_GB2312" w:cs="宋体"/>
          <w:color w:val="000000"/>
          <w:kern w:val="0"/>
          <w:sz w:val="32"/>
          <w:szCs w:val="32"/>
          <w:highlight w:val="none"/>
          <w:lang w:val="en-US" w:eastAsia="zh-CN"/>
        </w:rPr>
        <w:t>202</w:t>
      </w:r>
      <w:r>
        <w:rPr>
          <w:rFonts w:hint="eastAsia" w:ascii="仿宋_GB2312" w:hAnsi="宋体" w:eastAsia="仿宋_GB2312" w:cs="宋体"/>
          <w:color w:val="000000"/>
          <w:kern w:val="0"/>
          <w:sz w:val="32"/>
          <w:szCs w:val="32"/>
          <w:highlight w:val="none"/>
          <w:lang w:val="en-US" w:eastAsia="zh-CN"/>
        </w:rPr>
        <w:t>2</w:t>
      </w:r>
      <w:r>
        <w:rPr>
          <w:rFonts w:hint="default" w:ascii="仿宋_GB2312" w:hAnsi="宋体" w:eastAsia="仿宋_GB2312" w:cs="宋体"/>
          <w:color w:val="000000"/>
          <w:kern w:val="0"/>
          <w:sz w:val="32"/>
          <w:szCs w:val="32"/>
          <w:highlight w:val="none"/>
          <w:lang w:val="en-US" w:eastAsia="zh-CN"/>
        </w:rPr>
        <w:t>年</w:t>
      </w:r>
      <w:r>
        <w:rPr>
          <w:rFonts w:hint="eastAsia" w:ascii="仿宋_GB2312" w:hAnsi="宋体" w:eastAsia="仿宋_GB2312" w:cs="宋体"/>
          <w:color w:val="000000"/>
          <w:kern w:val="0"/>
          <w:sz w:val="32"/>
          <w:szCs w:val="32"/>
          <w:highlight w:val="none"/>
          <w:lang w:val="en-US" w:eastAsia="zh-CN"/>
        </w:rPr>
        <w:t>度，我院</w:t>
      </w:r>
      <w:r>
        <w:rPr>
          <w:rFonts w:hint="default" w:ascii="仿宋_GB2312" w:hAnsi="宋体" w:eastAsia="仿宋_GB2312" w:cs="宋体"/>
          <w:color w:val="000000"/>
          <w:kern w:val="0"/>
          <w:sz w:val="32"/>
          <w:szCs w:val="32"/>
          <w:highlight w:val="none"/>
          <w:lang w:val="en-US" w:eastAsia="zh-CN"/>
        </w:rPr>
        <w:t>预算项目共</w:t>
      </w:r>
      <w:r>
        <w:rPr>
          <w:rFonts w:hint="eastAsia" w:ascii="仿宋_GB2312" w:hAnsi="宋体" w:eastAsia="仿宋_GB2312" w:cs="宋体"/>
          <w:color w:val="000000"/>
          <w:kern w:val="0"/>
          <w:sz w:val="32"/>
          <w:szCs w:val="32"/>
          <w:highlight w:val="none"/>
          <w:lang w:val="en-US" w:eastAsia="zh-CN"/>
        </w:rPr>
        <w:t>8</w:t>
      </w:r>
      <w:r>
        <w:rPr>
          <w:rFonts w:hint="default" w:ascii="仿宋_GB2312" w:hAnsi="宋体" w:eastAsia="仿宋_GB2312" w:cs="宋体"/>
          <w:color w:val="000000"/>
          <w:kern w:val="0"/>
          <w:sz w:val="32"/>
          <w:szCs w:val="32"/>
          <w:highlight w:val="none"/>
          <w:lang w:val="en-US" w:eastAsia="zh-CN"/>
        </w:rPr>
        <w:t>个，预算金额</w:t>
      </w:r>
      <w:r>
        <w:rPr>
          <w:rFonts w:hint="eastAsia" w:ascii="仿宋_GB2312" w:hAnsi="宋体" w:eastAsia="仿宋_GB2312" w:cs="宋体"/>
          <w:color w:val="000000"/>
          <w:kern w:val="0"/>
          <w:sz w:val="32"/>
          <w:szCs w:val="32"/>
          <w:highlight w:val="none"/>
          <w:lang w:val="en-US" w:eastAsia="zh-CN"/>
        </w:rPr>
        <w:t>865.00</w:t>
      </w:r>
      <w:r>
        <w:rPr>
          <w:rFonts w:ascii="仿宋_GB2312" w:hAnsi="宋体" w:eastAsia="仿宋_GB2312" w:cs="宋体"/>
          <w:color w:val="000000"/>
          <w:kern w:val="0"/>
          <w:sz w:val="32"/>
          <w:szCs w:val="32"/>
          <w:highlight w:val="none"/>
        </w:rPr>
        <w:t>万元</w:t>
      </w:r>
      <w:r>
        <w:rPr>
          <w:rFonts w:hint="default" w:ascii="仿宋_GB2312" w:hAnsi="宋体" w:eastAsia="仿宋_GB2312" w:cs="宋体"/>
          <w:color w:val="000000"/>
          <w:kern w:val="0"/>
          <w:sz w:val="32"/>
          <w:szCs w:val="32"/>
          <w:highlight w:val="none"/>
          <w:lang w:eastAsia="zh-CN"/>
        </w:rPr>
        <w:t>，</w:t>
      </w:r>
      <w:r>
        <w:rPr>
          <w:rFonts w:hint="default" w:ascii="仿宋_GB2312" w:hAnsi="宋体" w:eastAsia="仿宋_GB2312" w:cs="宋体"/>
          <w:color w:val="000000"/>
          <w:kern w:val="0"/>
          <w:sz w:val="32"/>
          <w:szCs w:val="32"/>
          <w:highlight w:val="none"/>
          <w:lang w:val="en-US" w:eastAsia="zh-CN"/>
        </w:rPr>
        <w:t>具体情况如下：</w:t>
      </w:r>
    </w:p>
    <w:p>
      <w:pPr>
        <w:keepNext w:val="0"/>
        <w:keepLines w:val="0"/>
        <w:pageBreakBefore w:val="0"/>
        <w:widowControl w:val="0"/>
        <w:kinsoku/>
        <w:wordWrap/>
        <w:overflowPunct/>
        <w:topLinePunct w:val="0"/>
        <w:autoSpaceDE/>
        <w:autoSpaceDN/>
        <w:bidi w:val="0"/>
        <w:adjustRightInd/>
        <w:snapToGrid/>
        <w:spacing w:line="560" w:lineRule="exact"/>
        <w:ind w:left="105" w:leftChars="50" w:firstLine="480" w:firstLineChars="150"/>
        <w:textAlignment w:val="auto"/>
        <w:outlineLvl w:val="1"/>
        <w:rPr>
          <w:rFonts w:ascii="楷体_GB2312" w:eastAsia="楷体_GB2312"/>
          <w:sz w:val="32"/>
          <w:szCs w:val="32"/>
          <w:highlight w:val="none"/>
        </w:rPr>
      </w:pPr>
      <w:bookmarkStart w:id="27" w:name="_Toc1424"/>
      <w:bookmarkStart w:id="28" w:name="_Toc15062"/>
      <w:bookmarkStart w:id="29" w:name="_Toc625"/>
      <w:bookmarkStart w:id="30" w:name="_Toc6280"/>
      <w:r>
        <w:rPr>
          <w:rFonts w:hint="eastAsia" w:ascii="楷体_GB2312" w:eastAsia="楷体_GB2312"/>
          <w:sz w:val="32"/>
          <w:szCs w:val="32"/>
          <w:highlight w:val="none"/>
        </w:rPr>
        <w:t>（一）产出完成情况分析</w:t>
      </w:r>
      <w:bookmarkEnd w:id="27"/>
      <w:bookmarkEnd w:id="28"/>
      <w:bookmarkEnd w:id="29"/>
      <w:bookmarkEnd w:id="30"/>
    </w:p>
    <w:p>
      <w:pPr>
        <w:keepNext w:val="0"/>
        <w:keepLines w:val="0"/>
        <w:pageBreakBefore w:val="0"/>
        <w:widowControl w:val="0"/>
        <w:kinsoku/>
        <w:wordWrap/>
        <w:overflowPunct/>
        <w:topLinePunct w:val="0"/>
        <w:autoSpaceDE/>
        <w:autoSpaceDN/>
        <w:bidi w:val="0"/>
        <w:adjustRightInd/>
        <w:snapToGrid/>
        <w:spacing w:line="560" w:lineRule="exact"/>
        <w:ind w:left="105" w:leftChars="50" w:firstLine="480" w:firstLineChars="150"/>
        <w:textAlignment w:val="auto"/>
        <w:outlineLvl w:val="2"/>
        <w:rPr>
          <w:rFonts w:hint="eastAsia" w:ascii="仿宋_GB2312" w:hAnsi="宋体" w:eastAsia="仿宋_GB2312" w:cs="宋体"/>
          <w:color w:val="000000"/>
          <w:kern w:val="0"/>
          <w:sz w:val="32"/>
          <w:szCs w:val="32"/>
          <w:lang w:eastAsia="zh-CN"/>
        </w:rPr>
      </w:pPr>
      <w:r>
        <w:rPr>
          <w:rFonts w:hint="eastAsia" w:ascii="仿宋_GB2312" w:hAnsi="宋体" w:eastAsia="仿宋_GB2312" w:cs="宋体"/>
          <w:color w:val="000000"/>
          <w:kern w:val="0"/>
          <w:sz w:val="32"/>
          <w:szCs w:val="32"/>
        </w:rPr>
        <w:t>1.产出数量</w:t>
      </w:r>
      <w:r>
        <w:rPr>
          <w:rFonts w:hint="eastAsia" w:ascii="仿宋_GB2312" w:hAnsi="宋体" w:eastAsia="仿宋_GB2312" w:cs="宋体"/>
          <w:color w:val="000000"/>
          <w:kern w:val="0"/>
          <w:sz w:val="32"/>
          <w:szCs w:val="32"/>
          <w:lang w:eastAsia="zh-CN"/>
        </w:rPr>
        <w:t>：</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eastAsia="zh-CN"/>
        </w:rPr>
        <w:t>（</w:t>
      </w:r>
      <w:r>
        <w:rPr>
          <w:rFonts w:hint="eastAsia" w:ascii="仿宋_GB2312" w:hAnsi="宋体" w:eastAsia="仿宋_GB2312" w:cs="宋体"/>
          <w:color w:val="000000"/>
          <w:kern w:val="0"/>
          <w:sz w:val="32"/>
          <w:szCs w:val="32"/>
          <w:lang w:val="en-US" w:eastAsia="zh-CN"/>
        </w:rPr>
        <w:t>1）安检安保工作经费项目</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年度指标值：开展安保安检工作，保障我院干警工作安全。</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全年实际值：与金警国际安保服务（北京）有限公司签订了安保安检服务合同，项目全年执行，委派12名安保人员进行日常安保安检工作，于2022年年底完成服务，保障了正常的办公秩序，顺利开展各项检察工作。</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eastAsia="zh-CN"/>
        </w:rPr>
        <w:t>（</w:t>
      </w:r>
      <w:r>
        <w:rPr>
          <w:rFonts w:hint="eastAsia" w:ascii="仿宋_GB2312" w:hAnsi="宋体" w:eastAsia="仿宋_GB2312" w:cs="宋体"/>
          <w:color w:val="000000"/>
          <w:kern w:val="0"/>
          <w:sz w:val="32"/>
          <w:szCs w:val="32"/>
          <w:lang w:val="en-US" w:eastAsia="zh-CN"/>
        </w:rPr>
        <w:t>2）绩效咨询服务费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年度指标值：开展项目绩效评价</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全年实际值：2022年的绩效评价工作针对我院的重点项目支出实施了绩效评价，评价项目2个，其中：部门评价项目与单位自评项目各1个，另对2022年度单位整体及2023年度1-6月份项目绩效开展了绩效评价及绩效跟踪咨询辅导工作。</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（3）检察工作经费</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年度指标值：用于加大新媒体宣传、检务公开等检察工作力度，加强公共关系建设。</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全年实际值：该项目选定北京神雨信息科技集团有限公司制作宣传视频，与第三方服务商签订宣传合作事宜等事项，进一步提高了检察工作宣传效果，提升了人民群众对检察工作的满意度。</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（4）</w:t>
      </w:r>
      <w:r>
        <w:rPr>
          <w:rFonts w:hint="eastAsia" w:ascii="仿宋_GB2312" w:hAnsi="宋体" w:eastAsia="仿宋_GB2312" w:cs="宋体"/>
          <w:color w:val="000000"/>
          <w:kern w:val="0"/>
          <w:sz w:val="32"/>
          <w:szCs w:val="32"/>
        </w:rPr>
        <w:t>信息化运维费</w:t>
      </w:r>
      <w:r>
        <w:rPr>
          <w:rFonts w:hint="eastAsia" w:ascii="仿宋_GB2312" w:hAnsi="宋体" w:eastAsia="仿宋_GB2312" w:cs="宋体"/>
          <w:color w:val="000000"/>
          <w:kern w:val="0"/>
          <w:sz w:val="32"/>
          <w:szCs w:val="32"/>
          <w:lang w:val="en-US" w:eastAsia="zh-CN"/>
        </w:rPr>
        <w:t>项目</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年度指标值：开展信息化运维工作，保障保障网络正常运行，系统运维合格率100%。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bCs/>
          <w:sz w:val="32"/>
          <w:szCs w:val="32"/>
          <w:highlight w:val="yellow"/>
        </w:rPr>
      </w:pPr>
      <w:r>
        <w:rPr>
          <w:rFonts w:hint="eastAsia" w:ascii="仿宋_GB2312" w:hAnsi="宋体" w:eastAsia="仿宋_GB2312" w:cs="宋体"/>
          <w:color w:val="000000"/>
          <w:kern w:val="0"/>
          <w:sz w:val="32"/>
          <w:szCs w:val="32"/>
          <w:lang w:val="en-US" w:eastAsia="zh-CN"/>
        </w:rPr>
        <w:t>全年实际值：</w:t>
      </w:r>
      <w:r>
        <w:rPr>
          <w:rFonts w:hint="eastAsia" w:ascii="仿宋_GB2312" w:hAnsi="宋体" w:eastAsia="仿宋_GB2312" w:cs="宋体"/>
          <w:bCs w:val="0"/>
          <w:color w:val="000000"/>
          <w:kern w:val="0"/>
          <w:sz w:val="32"/>
          <w:szCs w:val="32"/>
          <w:lang w:val="en-US" w:eastAsia="zh-CN"/>
        </w:rPr>
        <w:t>检察信息化系统2022年全年运行态势平稳良好，保证了</w:t>
      </w:r>
      <w:r>
        <w:rPr>
          <w:rFonts w:hint="eastAsia" w:ascii="仿宋_GB2312" w:hAnsi="宋体" w:eastAsia="仿宋_GB2312" w:cs="宋体"/>
          <w:bCs w:val="0"/>
          <w:color w:val="000000"/>
          <w:kern w:val="0"/>
          <w:sz w:val="32"/>
          <w:szCs w:val="32"/>
        </w:rPr>
        <w:t>信息化网络设备稳定运行</w:t>
      </w:r>
      <w:r>
        <w:rPr>
          <w:rFonts w:hint="eastAsia" w:ascii="仿宋_GB2312" w:hAnsi="宋体" w:eastAsia="仿宋_GB2312" w:cs="宋体"/>
          <w:bCs w:val="0"/>
          <w:color w:val="000000"/>
          <w:kern w:val="0"/>
          <w:sz w:val="32"/>
          <w:szCs w:val="32"/>
          <w:lang w:eastAsia="zh-CN"/>
        </w:rPr>
        <w:t>，</w:t>
      </w:r>
      <w:r>
        <w:rPr>
          <w:rFonts w:hint="eastAsia" w:ascii="仿宋_GB2312" w:hAnsi="宋体" w:eastAsia="仿宋_GB2312" w:cs="宋体"/>
          <w:bCs w:val="0"/>
          <w:color w:val="000000"/>
          <w:kern w:val="0"/>
          <w:sz w:val="32"/>
          <w:szCs w:val="32"/>
        </w:rPr>
        <w:t>满足</w:t>
      </w:r>
      <w:r>
        <w:rPr>
          <w:rFonts w:hint="eastAsia" w:ascii="仿宋_GB2312" w:hAnsi="宋体" w:eastAsia="仿宋_GB2312" w:cs="宋体"/>
          <w:bCs w:val="0"/>
          <w:color w:val="000000"/>
          <w:kern w:val="0"/>
          <w:sz w:val="32"/>
          <w:szCs w:val="32"/>
          <w:lang w:val="en-US" w:eastAsia="zh-CN"/>
        </w:rPr>
        <w:t>了</w:t>
      </w:r>
      <w:r>
        <w:rPr>
          <w:rFonts w:hint="eastAsia" w:ascii="仿宋_GB2312" w:hAnsi="宋体" w:eastAsia="仿宋_GB2312" w:cs="宋体"/>
          <w:bCs w:val="0"/>
          <w:color w:val="000000"/>
          <w:kern w:val="0"/>
          <w:sz w:val="32"/>
          <w:szCs w:val="32"/>
        </w:rPr>
        <w:t>检察业务工作需要</w:t>
      </w:r>
      <w:r>
        <w:rPr>
          <w:rFonts w:hint="eastAsia" w:ascii="仿宋_GB2312" w:hAnsi="宋体" w:eastAsia="仿宋_GB2312" w:cs="宋体"/>
          <w:bCs w:val="0"/>
          <w:color w:val="000000"/>
          <w:kern w:val="0"/>
          <w:sz w:val="32"/>
          <w:szCs w:val="32"/>
          <w:lang w:eastAsia="zh-CN"/>
        </w:rPr>
        <w:t>。</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（5）互联网接入费</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年度指标值：为实现北京市通州区人民检察院计算机外网系统、指挥中心等接入互联网宽带工作，保障检察院对信息化不断增长的需求，保障检务公开需要，需专线接入互联网。</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全年实际值：按照工作部署和要求，在2022年按要求完成项目进度并通过验收。保障检察业务公开与信息化建设顺利进行。</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（6）业务装备费</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年度指标值：按照购置计划执行</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全年实际值：已购置全彩显示屏、手拉手数字话筒主机及框架等设备，并完成验收，资金总体执行率达到100.00%。</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（7）办案业务费</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年度指标值：满足检察机关政法执法办案需求，保障各项检察业务顺利开展。</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pPr>
      <w:r>
        <w:rPr>
          <w:rFonts w:hint="eastAsia" w:ascii="仿宋_GB2312" w:hAnsi="宋体" w:eastAsia="仿宋_GB2312" w:cs="宋体"/>
          <w:color w:val="000000"/>
          <w:kern w:val="0"/>
          <w:sz w:val="32"/>
          <w:szCs w:val="32"/>
          <w:highlight w:val="none"/>
          <w:lang w:val="en-US" w:eastAsia="zh-CN"/>
        </w:rPr>
        <w:t>全年实际值：2022年，我院四大检察受理数6854件，占全市四大检察受理数比7.52%，较去年同期不变；我院受理量同比上升13.8%。</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（8）区财政拨款项目</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年度指标值：资金到位80.00万元,保障检察业务的顺利开展。</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highlight w:val="none"/>
          <w:lang w:val="en-US" w:eastAsia="zh-CN"/>
        </w:rPr>
        <w:t>全年实际值：到位资金0.76万元，资金到位率为0.95%。</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2"/>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rPr>
        <w:t>2.</w:t>
      </w:r>
      <w:r>
        <w:rPr>
          <w:rFonts w:hint="eastAsia" w:ascii="仿宋_GB2312" w:hAnsi="宋体" w:eastAsia="仿宋_GB2312" w:cs="宋体"/>
          <w:color w:val="000000"/>
          <w:kern w:val="0"/>
          <w:sz w:val="32"/>
          <w:szCs w:val="32"/>
        </w:rPr>
        <w:t>产出</w:t>
      </w:r>
      <w:r>
        <w:rPr>
          <w:rFonts w:ascii="仿宋_GB2312" w:hAnsi="宋体" w:eastAsia="仿宋_GB2312" w:cs="宋体"/>
          <w:color w:val="000000"/>
          <w:kern w:val="0"/>
          <w:sz w:val="32"/>
          <w:szCs w:val="32"/>
        </w:rPr>
        <w:t>质量</w:t>
      </w:r>
    </w:p>
    <w:p>
      <w:pPr>
        <w:keepNext w:val="0"/>
        <w:keepLines w:val="0"/>
        <w:pageBreakBefore w:val="0"/>
        <w:widowControl w:val="0"/>
        <w:kinsoku/>
        <w:wordWrap/>
        <w:overflowPunct/>
        <w:topLinePunct w:val="0"/>
        <w:autoSpaceDE/>
        <w:autoSpaceDN/>
        <w:bidi w:val="0"/>
        <w:adjustRightInd/>
        <w:snapToGrid/>
        <w:spacing w:line="560" w:lineRule="exact"/>
        <w:ind w:left="105" w:leftChars="50" w:firstLine="480" w:firstLineChars="150"/>
        <w:textAlignment w:val="auto"/>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eastAsia="zh-CN"/>
        </w:rPr>
        <w:t>（</w:t>
      </w:r>
      <w:r>
        <w:rPr>
          <w:rFonts w:hint="eastAsia" w:ascii="仿宋_GB2312" w:hAnsi="仿宋_GB2312" w:eastAsia="仿宋_GB2312" w:cs="仿宋_GB2312"/>
          <w:color w:val="000000"/>
          <w:kern w:val="0"/>
          <w:sz w:val="32"/>
          <w:szCs w:val="32"/>
          <w:lang w:val="en-US" w:eastAsia="zh-CN"/>
        </w:rPr>
        <w:t>1</w:t>
      </w:r>
      <w:r>
        <w:rPr>
          <w:rFonts w:hint="eastAsia" w:ascii="仿宋_GB2312" w:hAnsi="仿宋_GB2312" w:eastAsia="仿宋_GB2312" w:cs="仿宋_GB2312"/>
          <w:color w:val="000000"/>
          <w:kern w:val="0"/>
          <w:sz w:val="32"/>
          <w:szCs w:val="32"/>
          <w:lang w:eastAsia="zh-CN"/>
        </w:rPr>
        <w:t>）</w:t>
      </w:r>
      <w:r>
        <w:rPr>
          <w:rFonts w:hint="eastAsia" w:ascii="仿宋_GB2312" w:hAnsi="仿宋_GB2312" w:eastAsia="仿宋_GB2312" w:cs="仿宋_GB2312"/>
          <w:color w:val="000000"/>
          <w:kern w:val="0"/>
          <w:sz w:val="32"/>
          <w:szCs w:val="32"/>
          <w:lang w:val="en-US" w:eastAsia="zh-CN"/>
        </w:rPr>
        <w:t>安保安检</w:t>
      </w:r>
      <w:r>
        <w:rPr>
          <w:rFonts w:hint="eastAsia" w:ascii="仿宋_GB2312" w:hAnsi="仿宋_GB2312" w:eastAsia="仿宋_GB2312" w:cs="仿宋_GB2312"/>
          <w:color w:val="000000"/>
          <w:kern w:val="0"/>
          <w:sz w:val="32"/>
          <w:szCs w:val="32"/>
          <w:lang w:eastAsia="zh-CN"/>
        </w:rPr>
        <w:t>工作</w:t>
      </w:r>
      <w:r>
        <w:rPr>
          <w:rFonts w:hint="eastAsia" w:ascii="仿宋_GB2312" w:hAnsi="仿宋_GB2312" w:eastAsia="仿宋_GB2312" w:cs="仿宋_GB2312"/>
          <w:color w:val="000000"/>
          <w:kern w:val="0"/>
          <w:sz w:val="32"/>
          <w:szCs w:val="32"/>
          <w:lang w:val="en-US" w:eastAsia="zh-CN"/>
        </w:rPr>
        <w:t>：保证了我院干警工作安全，维护了</w:t>
      </w:r>
      <w:r>
        <w:rPr>
          <w:rFonts w:hint="eastAsia" w:ascii="仿宋_GB2312" w:hAnsi="宋体" w:eastAsia="仿宋_GB2312" w:cs="宋体"/>
          <w:color w:val="000000"/>
          <w:kern w:val="0"/>
          <w:sz w:val="32"/>
          <w:szCs w:val="32"/>
          <w:lang w:val="en-US" w:eastAsia="zh-CN"/>
        </w:rPr>
        <w:t>正常的办公秩序，保障各项检察业务工作有序开展</w:t>
      </w:r>
      <w:r>
        <w:rPr>
          <w:rFonts w:hint="eastAsia" w:ascii="仿宋_GB2312" w:hAnsi="仿宋_GB2312" w:eastAsia="仿宋_GB2312" w:cs="仿宋_GB2312"/>
          <w:color w:val="000000"/>
          <w:kern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105" w:leftChars="50" w:firstLine="480" w:firstLineChars="150"/>
        <w:textAlignment w:val="auto"/>
        <w:rPr>
          <w:rFonts w:hint="eastAsia" w:ascii="仿宋_GB2312" w:hAnsi="仿宋_GB2312" w:eastAsia="仿宋_GB2312" w:cs="仿宋_GB2312"/>
          <w:color w:val="000000"/>
          <w:kern w:val="0"/>
          <w:sz w:val="32"/>
          <w:szCs w:val="32"/>
          <w:lang w:eastAsia="zh-CN"/>
        </w:rPr>
      </w:pPr>
      <w:r>
        <w:rPr>
          <w:rFonts w:hint="eastAsia" w:ascii="仿宋_GB2312" w:hAnsi="仿宋_GB2312" w:eastAsia="仿宋_GB2312" w:cs="仿宋_GB2312"/>
          <w:color w:val="000000"/>
          <w:kern w:val="0"/>
          <w:sz w:val="32"/>
          <w:szCs w:val="32"/>
          <w:lang w:eastAsia="zh-CN"/>
        </w:rPr>
        <w:t>（</w:t>
      </w:r>
      <w:r>
        <w:rPr>
          <w:rFonts w:hint="eastAsia" w:ascii="仿宋_GB2312" w:hAnsi="仿宋_GB2312" w:eastAsia="仿宋_GB2312" w:cs="仿宋_GB2312"/>
          <w:color w:val="000000"/>
          <w:kern w:val="0"/>
          <w:sz w:val="32"/>
          <w:szCs w:val="32"/>
          <w:lang w:val="en-US" w:eastAsia="zh-CN"/>
        </w:rPr>
        <w:t>2</w:t>
      </w:r>
      <w:r>
        <w:rPr>
          <w:rFonts w:hint="eastAsia" w:ascii="仿宋_GB2312" w:hAnsi="仿宋_GB2312" w:eastAsia="仿宋_GB2312" w:cs="仿宋_GB2312"/>
          <w:color w:val="000000"/>
          <w:kern w:val="0"/>
          <w:sz w:val="32"/>
          <w:szCs w:val="32"/>
          <w:lang w:eastAsia="zh-CN"/>
        </w:rPr>
        <w:t>）</w:t>
      </w:r>
      <w:r>
        <w:rPr>
          <w:rFonts w:hint="eastAsia" w:ascii="仿宋_GB2312" w:hAnsi="仿宋_GB2312" w:eastAsia="仿宋_GB2312" w:cs="仿宋_GB2312"/>
          <w:color w:val="000000"/>
          <w:kern w:val="0"/>
          <w:sz w:val="32"/>
          <w:szCs w:val="32"/>
          <w:lang w:val="en-US" w:eastAsia="zh-CN"/>
        </w:rPr>
        <w:t>绩效咨询服务工作：提高了我院财政资金使用效益、保障了经费运行安全，进一步促进</w:t>
      </w:r>
      <w:r>
        <w:rPr>
          <w:rFonts w:hint="eastAsia" w:ascii="仿宋_GB2312" w:hAnsi="宋体" w:eastAsia="仿宋_GB2312" w:cs="宋体"/>
          <w:color w:val="000000"/>
          <w:kern w:val="0"/>
          <w:sz w:val="32"/>
          <w:szCs w:val="32"/>
          <w:lang w:val="en-US" w:eastAsia="zh-CN"/>
        </w:rPr>
        <w:t>检察工作业务开展，提高检察工作效率；</w:t>
      </w:r>
    </w:p>
    <w:p>
      <w:pPr>
        <w:keepNext w:val="0"/>
        <w:keepLines w:val="0"/>
        <w:pageBreakBefore w:val="0"/>
        <w:widowControl w:val="0"/>
        <w:kinsoku/>
        <w:wordWrap/>
        <w:overflowPunct/>
        <w:topLinePunct w:val="0"/>
        <w:autoSpaceDE/>
        <w:autoSpaceDN/>
        <w:bidi w:val="0"/>
        <w:adjustRightInd/>
        <w:snapToGrid/>
        <w:spacing w:line="560" w:lineRule="exact"/>
        <w:ind w:left="105" w:leftChars="50" w:firstLine="480" w:firstLineChars="150"/>
        <w:textAlignment w:val="auto"/>
        <w:rPr>
          <w:rFonts w:hint="default"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eastAsia="zh-CN"/>
        </w:rPr>
        <w:t>（</w:t>
      </w:r>
      <w:r>
        <w:rPr>
          <w:rFonts w:hint="eastAsia" w:ascii="仿宋_GB2312" w:hAnsi="仿宋_GB2312" w:eastAsia="仿宋_GB2312" w:cs="仿宋_GB2312"/>
          <w:color w:val="000000"/>
          <w:kern w:val="0"/>
          <w:sz w:val="32"/>
          <w:szCs w:val="32"/>
          <w:lang w:val="en-US" w:eastAsia="zh-CN"/>
        </w:rPr>
        <w:t>3</w:t>
      </w:r>
      <w:r>
        <w:rPr>
          <w:rFonts w:hint="eastAsia" w:ascii="仿宋_GB2312" w:hAnsi="仿宋_GB2312" w:eastAsia="仿宋_GB2312" w:cs="仿宋_GB2312"/>
          <w:color w:val="000000"/>
          <w:kern w:val="0"/>
          <w:sz w:val="32"/>
          <w:szCs w:val="32"/>
          <w:lang w:eastAsia="zh-CN"/>
        </w:rPr>
        <w:t>）检察工作经费：</w:t>
      </w:r>
      <w:r>
        <w:rPr>
          <w:rFonts w:hint="eastAsia" w:ascii="仿宋_GB2312" w:hAnsi="仿宋_GB2312" w:eastAsia="仿宋_GB2312" w:cs="仿宋_GB2312"/>
          <w:color w:val="000000"/>
          <w:kern w:val="0"/>
          <w:sz w:val="32"/>
          <w:szCs w:val="32"/>
          <w:lang w:val="en-US" w:eastAsia="zh-CN"/>
        </w:rPr>
        <w:t>通过该项目的执行，加强了新媒体建设，深化检务公开，提升了群众对检察工作满意度；同时做好了法治宣传工作，提高了检察机关公信力，传播了检察正能量；</w:t>
      </w:r>
    </w:p>
    <w:p>
      <w:pPr>
        <w:keepNext w:val="0"/>
        <w:keepLines w:val="0"/>
        <w:pageBreakBefore w:val="0"/>
        <w:widowControl w:val="0"/>
        <w:kinsoku/>
        <w:wordWrap/>
        <w:overflowPunct/>
        <w:topLinePunct w:val="0"/>
        <w:autoSpaceDE/>
        <w:autoSpaceDN/>
        <w:bidi w:val="0"/>
        <w:adjustRightInd/>
        <w:snapToGrid/>
        <w:spacing w:line="560" w:lineRule="exact"/>
        <w:ind w:left="105" w:leftChars="50" w:firstLine="480" w:firstLineChars="150"/>
        <w:textAlignment w:val="auto"/>
        <w:rPr>
          <w:rFonts w:hint="eastAsia" w:ascii="仿宋_GB2312" w:hAnsi="仿宋_GB2312" w:eastAsia="仿宋_GB2312" w:cs="仿宋_GB2312"/>
          <w:bCs/>
          <w:color w:val="000000"/>
          <w:kern w:val="0"/>
          <w:sz w:val="32"/>
          <w:szCs w:val="32"/>
          <w:lang w:val="en-US" w:eastAsia="zh-CN"/>
        </w:rPr>
      </w:pPr>
      <w:r>
        <w:rPr>
          <w:rFonts w:hint="eastAsia" w:ascii="仿宋_GB2312" w:hAnsi="仿宋_GB2312" w:eastAsia="仿宋_GB2312" w:cs="仿宋_GB2312"/>
          <w:color w:val="000000"/>
          <w:kern w:val="0"/>
          <w:sz w:val="32"/>
          <w:szCs w:val="32"/>
          <w:lang w:eastAsia="zh-CN"/>
        </w:rPr>
        <w:t>（</w:t>
      </w:r>
      <w:r>
        <w:rPr>
          <w:rFonts w:hint="eastAsia" w:ascii="仿宋_GB2312" w:hAnsi="仿宋_GB2312" w:eastAsia="仿宋_GB2312" w:cs="仿宋_GB2312"/>
          <w:color w:val="000000"/>
          <w:kern w:val="0"/>
          <w:sz w:val="32"/>
          <w:szCs w:val="32"/>
          <w:lang w:val="en-US" w:eastAsia="zh-CN"/>
        </w:rPr>
        <w:t>4</w:t>
      </w:r>
      <w:r>
        <w:rPr>
          <w:rFonts w:hint="eastAsia" w:ascii="仿宋_GB2312" w:hAnsi="仿宋_GB2312" w:eastAsia="仿宋_GB2312" w:cs="仿宋_GB2312"/>
          <w:color w:val="000000"/>
          <w:kern w:val="0"/>
          <w:sz w:val="32"/>
          <w:szCs w:val="32"/>
          <w:lang w:eastAsia="zh-CN"/>
        </w:rPr>
        <w:t>）</w:t>
      </w:r>
      <w:r>
        <w:rPr>
          <w:rFonts w:hint="eastAsia" w:ascii="仿宋_GB2312" w:hAnsi="仿宋_GB2312" w:eastAsia="仿宋_GB2312" w:cs="仿宋_GB2312"/>
          <w:color w:val="000000"/>
          <w:kern w:val="0"/>
          <w:sz w:val="32"/>
          <w:szCs w:val="32"/>
        </w:rPr>
        <w:t>信息化运维费</w:t>
      </w:r>
      <w:r>
        <w:rPr>
          <w:rFonts w:hint="eastAsia" w:ascii="仿宋_GB2312" w:hAnsi="仿宋_GB2312" w:eastAsia="仿宋_GB2312" w:cs="仿宋_GB2312"/>
          <w:color w:val="000000"/>
          <w:kern w:val="0"/>
          <w:sz w:val="32"/>
          <w:szCs w:val="32"/>
          <w:lang w:val="en-US" w:eastAsia="zh-CN"/>
        </w:rPr>
        <w:t>项目全年系统运维合格率100%</w:t>
      </w:r>
      <w:r>
        <w:rPr>
          <w:rFonts w:hint="eastAsia" w:ascii="仿宋_GB2312" w:hAnsi="仿宋_GB2312" w:eastAsia="仿宋_GB2312" w:cs="仿宋_GB2312"/>
          <w:bCs/>
          <w:sz w:val="32"/>
          <w:szCs w:val="32"/>
        </w:rPr>
        <w:t>，满足</w:t>
      </w:r>
      <w:r>
        <w:rPr>
          <w:rFonts w:hint="eastAsia" w:ascii="仿宋_GB2312" w:hAnsi="仿宋_GB2312" w:eastAsia="仿宋_GB2312" w:cs="仿宋_GB2312"/>
          <w:bCs/>
          <w:sz w:val="32"/>
          <w:szCs w:val="32"/>
          <w:lang w:val="en-US" w:eastAsia="zh-CN"/>
        </w:rPr>
        <w:t>了</w:t>
      </w:r>
      <w:r>
        <w:rPr>
          <w:rFonts w:hint="eastAsia" w:ascii="仿宋_GB2312" w:hAnsi="仿宋_GB2312" w:eastAsia="仿宋_GB2312" w:cs="仿宋_GB2312"/>
          <w:bCs/>
          <w:sz w:val="32"/>
          <w:szCs w:val="32"/>
        </w:rPr>
        <w:t>检察业务工作需要</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优化</w:t>
      </w:r>
      <w:r>
        <w:rPr>
          <w:rFonts w:hint="eastAsia" w:ascii="仿宋_GB2312" w:hAnsi="仿宋_GB2312" w:eastAsia="仿宋_GB2312" w:cs="仿宋_GB2312"/>
          <w:bCs/>
          <w:sz w:val="32"/>
          <w:szCs w:val="32"/>
          <w:lang w:val="en-US" w:eastAsia="zh-CN"/>
        </w:rPr>
        <w:t>了</w:t>
      </w:r>
      <w:r>
        <w:rPr>
          <w:rFonts w:hint="eastAsia" w:ascii="仿宋_GB2312" w:hAnsi="仿宋_GB2312" w:eastAsia="仿宋_GB2312" w:cs="仿宋_GB2312"/>
          <w:bCs/>
          <w:sz w:val="32"/>
          <w:szCs w:val="32"/>
        </w:rPr>
        <w:t>检察院网络环境，保障</w:t>
      </w:r>
      <w:r>
        <w:rPr>
          <w:rFonts w:hint="eastAsia" w:ascii="仿宋_GB2312" w:hAnsi="仿宋_GB2312" w:eastAsia="仿宋_GB2312" w:cs="仿宋_GB2312"/>
          <w:bCs/>
          <w:sz w:val="32"/>
          <w:szCs w:val="32"/>
          <w:lang w:val="en-US" w:eastAsia="zh-CN"/>
        </w:rPr>
        <w:t>了</w:t>
      </w:r>
      <w:r>
        <w:rPr>
          <w:rFonts w:hint="eastAsia" w:ascii="仿宋_GB2312" w:hAnsi="仿宋_GB2312" w:eastAsia="仿宋_GB2312" w:cs="仿宋_GB2312"/>
          <w:bCs/>
          <w:sz w:val="32"/>
          <w:szCs w:val="32"/>
        </w:rPr>
        <w:t>检察业务高效开展</w:t>
      </w:r>
      <w:r>
        <w:rPr>
          <w:rFonts w:hint="eastAsia" w:ascii="仿宋_GB2312" w:hAnsi="仿宋_GB2312" w:eastAsia="仿宋_GB2312" w:cs="仿宋_GB2312"/>
          <w:bCs/>
          <w:sz w:val="32"/>
          <w:szCs w:val="32"/>
          <w:lang w:eastAsia="zh-CN"/>
        </w:rPr>
        <w:t>；</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（5）互联网接入费：满足了专线接入互联网的工作需求，保障了检察业务公开与检察门户网站运行维护；</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Cs/>
          <w:sz w:val="32"/>
          <w:szCs w:val="32"/>
        </w:rPr>
      </w:pPr>
      <w:r>
        <w:rPr>
          <w:rFonts w:hint="eastAsia" w:ascii="仿宋_GB2312" w:hAnsi="宋体" w:eastAsia="仿宋_GB2312" w:cs="宋体"/>
          <w:color w:val="000000"/>
          <w:kern w:val="0"/>
          <w:sz w:val="32"/>
          <w:szCs w:val="32"/>
          <w:lang w:val="en-US" w:eastAsia="zh-CN"/>
        </w:rPr>
        <w:t>（6）业务装备费项目：通过全彩显示屏、手拉手数字话筒主机及框架等设备，</w:t>
      </w:r>
      <w:r>
        <w:rPr>
          <w:rFonts w:hint="eastAsia" w:ascii="仿宋_GB2312" w:hAnsi="仿宋_GB2312" w:eastAsia="仿宋_GB2312" w:cs="仿宋_GB2312"/>
          <w:bCs/>
          <w:sz w:val="32"/>
          <w:szCs w:val="32"/>
        </w:rPr>
        <w:t>进一步提高检察信息化水平，满足检察机关取证需要；规范检察执法，提高执法办案水平；强化检察系统间沟通，更好满足检察业务工作。</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lang w:val="en-US" w:eastAsia="zh-CN"/>
        </w:rPr>
        <w:t>（7）办案业务费：2022年度，我院案件审结率达95.65%，在全市通报的21项常态质效评价指标中，刑事“案-件比”、认罪认罚适用率等9项指标排名全市第一，检察业务绩效考核位列全市前列。</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lang w:val="en-US" w:eastAsia="zh-CN"/>
        </w:rPr>
        <w:t>（8）2022年区财政拨款项目预算资金80.00万元，实际到位资金0.76万元，资金到位率0.95%，在一定程度上促进检察监督业务体系和业务能力现代化，保障检察业务的顺利开展。</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2"/>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rPr>
        <w:t>3.</w:t>
      </w:r>
      <w:r>
        <w:rPr>
          <w:rFonts w:hint="eastAsia" w:ascii="仿宋_GB2312" w:hAnsi="宋体" w:eastAsia="仿宋_GB2312" w:cs="宋体"/>
          <w:color w:val="000000"/>
          <w:kern w:val="0"/>
          <w:sz w:val="32"/>
          <w:szCs w:val="32"/>
        </w:rPr>
        <w:t>产出</w:t>
      </w:r>
      <w:r>
        <w:rPr>
          <w:rFonts w:ascii="仿宋_GB2312" w:hAnsi="宋体" w:eastAsia="仿宋_GB2312" w:cs="宋体"/>
          <w:color w:val="000000"/>
          <w:kern w:val="0"/>
          <w:sz w:val="32"/>
          <w:szCs w:val="32"/>
        </w:rPr>
        <w:t>进度</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宋体"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（1）2022年安保安检工作项目，按照年初绩效目标的要求，已在2022年底前完成并通过验收</w:t>
      </w:r>
      <w:r>
        <w:rPr>
          <w:rFonts w:hint="eastAsia"/>
          <w:lang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（2）</w:t>
      </w:r>
      <w:r>
        <w:rPr>
          <w:rFonts w:hint="eastAsia" w:ascii="仿宋_GB2312" w:hAnsi="仿宋_GB2312" w:eastAsia="仿宋_GB2312" w:cs="仿宋_GB2312"/>
          <w:color w:val="000000"/>
          <w:kern w:val="0"/>
          <w:sz w:val="32"/>
          <w:szCs w:val="32"/>
          <w:lang w:val="en-US" w:eastAsia="zh-CN"/>
        </w:rPr>
        <w:t>绩效咨询服务工作已在2022年度完成；</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（3）</w:t>
      </w:r>
      <w:r>
        <w:rPr>
          <w:rFonts w:hint="eastAsia" w:ascii="仿宋_GB2312" w:hAnsi="仿宋_GB2312" w:eastAsia="仿宋_GB2312" w:cs="仿宋_GB2312"/>
          <w:color w:val="000000"/>
          <w:kern w:val="0"/>
          <w:sz w:val="32"/>
          <w:szCs w:val="32"/>
          <w:lang w:eastAsia="zh-CN"/>
        </w:rPr>
        <w:t>检察工作经费</w:t>
      </w:r>
      <w:r>
        <w:rPr>
          <w:rFonts w:hint="eastAsia" w:ascii="仿宋_GB2312" w:hAnsi="仿宋_GB2312" w:eastAsia="仿宋_GB2312" w:cs="仿宋_GB2312"/>
          <w:color w:val="000000"/>
          <w:kern w:val="0"/>
          <w:sz w:val="32"/>
          <w:szCs w:val="32"/>
          <w:lang w:val="en-US" w:eastAsia="zh-CN"/>
        </w:rPr>
        <w:t>项目已在2022年度完成并通过验收；</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（4）2022年信息化运维项目，截至评价日，该项目主要工作能够按照计划时间开展，产出时效性较好，按期完成了各阶段及年度总体工作任务；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pPr>
      <w:r>
        <w:rPr>
          <w:rFonts w:hint="eastAsia" w:ascii="仿宋_GB2312" w:hAnsi="宋体" w:eastAsia="仿宋_GB2312" w:cs="宋体"/>
          <w:color w:val="000000"/>
          <w:kern w:val="0"/>
          <w:sz w:val="32"/>
          <w:szCs w:val="32"/>
          <w:lang w:val="en-US" w:eastAsia="zh-CN"/>
        </w:rPr>
        <w:t>（5）2022年互联网接入费项目，按要求完成项目进度并通过验收；</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（6）2022年业务装备费项目，整体完成度较好，已按年初购置计划执行并验收合格，资金总体执行率达到100.00%；</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eastAsia="zh-CN"/>
        </w:rPr>
      </w:pPr>
      <w:r>
        <w:rPr>
          <w:rFonts w:hint="eastAsia" w:ascii="仿宋_GB2312" w:hAnsi="宋体" w:eastAsia="仿宋_GB2312" w:cs="宋体"/>
          <w:color w:val="000000"/>
          <w:kern w:val="0"/>
          <w:sz w:val="32"/>
          <w:szCs w:val="32"/>
          <w:lang w:val="en-US" w:eastAsia="zh-CN"/>
        </w:rPr>
        <w:t>（7）2022年办案业务费项目，已在2022年按要求完成项目进度，项目中</w:t>
      </w:r>
      <w:r>
        <w:rPr>
          <w:rFonts w:hint="eastAsia" w:ascii="仿宋_GB2312" w:hAnsi="宋体" w:eastAsia="仿宋_GB2312" w:cs="宋体"/>
          <w:b w:val="0"/>
          <w:bCs w:val="0"/>
          <w:color w:val="000000"/>
          <w:kern w:val="0"/>
          <w:sz w:val="32"/>
          <w:szCs w:val="32"/>
          <w:lang w:val="en-US" w:eastAsia="zh-CN"/>
        </w:rPr>
        <w:t>涉及的合同、</w:t>
      </w:r>
      <w:r>
        <w:rPr>
          <w:rFonts w:hint="eastAsia" w:ascii="仿宋_GB2312" w:hAnsi="宋体" w:eastAsia="仿宋_GB2312" w:cs="宋体"/>
          <w:color w:val="000000"/>
          <w:kern w:val="0"/>
          <w:sz w:val="32"/>
          <w:szCs w:val="32"/>
        </w:rPr>
        <w:t>验收报告、技术鉴定等资料</w:t>
      </w:r>
      <w:r>
        <w:rPr>
          <w:rFonts w:hint="eastAsia" w:ascii="仿宋_GB2312" w:hAnsi="宋体" w:eastAsia="仿宋_GB2312" w:cs="宋体"/>
          <w:color w:val="000000"/>
          <w:kern w:val="0"/>
          <w:sz w:val="32"/>
          <w:szCs w:val="32"/>
          <w:lang w:val="en-US" w:eastAsia="zh-CN"/>
        </w:rPr>
        <w:t>均</w:t>
      </w:r>
      <w:r>
        <w:rPr>
          <w:rFonts w:hint="eastAsia" w:ascii="仿宋_GB2312" w:hAnsi="宋体" w:eastAsia="仿宋_GB2312" w:cs="宋体"/>
          <w:color w:val="000000"/>
          <w:kern w:val="0"/>
          <w:sz w:val="32"/>
          <w:szCs w:val="32"/>
        </w:rPr>
        <w:t>齐全并及时归档</w:t>
      </w:r>
      <w:r>
        <w:rPr>
          <w:rFonts w:hint="eastAsia" w:ascii="仿宋_GB2312" w:hAnsi="宋体" w:eastAsia="仿宋_GB2312" w:cs="宋体"/>
          <w:color w:val="000000"/>
          <w:kern w:val="0"/>
          <w:sz w:val="32"/>
          <w:szCs w:val="32"/>
          <w:lang w:eastAsia="zh-CN"/>
        </w:rPr>
        <w:t>；</w:t>
      </w:r>
    </w:p>
    <w:p>
      <w:pPr>
        <w:pStyle w:val="2"/>
        <w:keepNext w:val="0"/>
        <w:keepLines w:val="0"/>
        <w:pageBreakBefore w:val="0"/>
        <w:widowControl w:val="0"/>
        <w:numPr>
          <w:ilvl w:val="-1"/>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（8）2022年区财政拨款项目预算资金80.00万元，实际到位资金0.76万元，资金到位率0.95%，与年初预算差异较大。</w:t>
      </w:r>
    </w:p>
    <w:p>
      <w:pPr>
        <w:keepNext w:val="0"/>
        <w:keepLines w:val="0"/>
        <w:pageBreakBefore w:val="0"/>
        <w:widowControl w:val="0"/>
        <w:kinsoku/>
        <w:wordWrap/>
        <w:overflowPunct/>
        <w:topLinePunct w:val="0"/>
        <w:autoSpaceDE/>
        <w:autoSpaceDN/>
        <w:bidi w:val="0"/>
        <w:adjustRightInd/>
        <w:snapToGrid/>
        <w:spacing w:line="560" w:lineRule="exact"/>
        <w:ind w:left="105" w:leftChars="50" w:firstLine="480" w:firstLineChars="150"/>
        <w:textAlignment w:val="auto"/>
        <w:outlineLvl w:val="2"/>
        <w:rPr>
          <w:rFonts w:hint="eastAsia" w:ascii="仿宋_GB2312" w:hAnsi="宋体" w:eastAsia="仿宋_GB2312" w:cs="宋体"/>
          <w:color w:val="000000"/>
          <w:kern w:val="0"/>
          <w:sz w:val="32"/>
          <w:szCs w:val="32"/>
        </w:rPr>
      </w:pPr>
      <w:r>
        <w:rPr>
          <w:rFonts w:ascii="仿宋_GB2312" w:hAnsi="宋体" w:eastAsia="仿宋_GB2312" w:cs="宋体"/>
          <w:color w:val="000000"/>
          <w:kern w:val="0"/>
          <w:sz w:val="32"/>
          <w:szCs w:val="32"/>
        </w:rPr>
        <w:t>4.</w:t>
      </w:r>
      <w:r>
        <w:rPr>
          <w:rFonts w:hint="eastAsia" w:ascii="仿宋_GB2312" w:hAnsi="宋体" w:eastAsia="仿宋_GB2312" w:cs="宋体"/>
          <w:color w:val="000000"/>
          <w:kern w:val="0"/>
          <w:sz w:val="32"/>
          <w:szCs w:val="32"/>
        </w:rPr>
        <w:t>产出</w:t>
      </w:r>
      <w:r>
        <w:rPr>
          <w:rFonts w:ascii="仿宋_GB2312" w:hAnsi="宋体" w:eastAsia="仿宋_GB2312" w:cs="宋体"/>
          <w:color w:val="000000"/>
          <w:kern w:val="0"/>
          <w:sz w:val="32"/>
          <w:szCs w:val="32"/>
        </w:rPr>
        <w:t>成本</w:t>
      </w:r>
      <w:r>
        <w:rPr>
          <w:rFonts w:hint="eastAsia" w:ascii="仿宋_GB2312" w:hAnsi="宋体" w:eastAsia="仿宋_GB2312" w:cs="宋体"/>
          <w:color w:val="000000"/>
          <w:kern w:val="0"/>
          <w:sz w:val="32"/>
          <w:szCs w:val="32"/>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105" w:leftChars="50" w:firstLine="480" w:firstLineChars="150"/>
        <w:textAlignment w:val="auto"/>
        <w:rPr>
          <w:rFonts w:hint="default"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2022年，我院</w:t>
      </w:r>
      <w:r>
        <w:rPr>
          <w:rFonts w:hint="eastAsia" w:ascii="仿宋_GB2312" w:hAnsi="宋体" w:eastAsia="仿宋_GB2312" w:cs="宋体"/>
          <w:color w:val="000000"/>
          <w:kern w:val="0"/>
          <w:sz w:val="32"/>
          <w:szCs w:val="32"/>
          <w:highlight w:val="none"/>
        </w:rPr>
        <w:t>项目支出预算数</w:t>
      </w:r>
      <w:r>
        <w:rPr>
          <w:rFonts w:hint="eastAsia" w:ascii="仿宋_GB2312" w:hAnsi="宋体" w:eastAsia="仿宋_GB2312" w:cs="宋体"/>
          <w:color w:val="000000"/>
          <w:kern w:val="0"/>
          <w:sz w:val="32"/>
          <w:szCs w:val="32"/>
          <w:highlight w:val="none"/>
          <w:lang w:val="en-US" w:eastAsia="zh-CN"/>
        </w:rPr>
        <w:t>865.00</w:t>
      </w:r>
      <w:r>
        <w:rPr>
          <w:rFonts w:ascii="仿宋_GB2312" w:hAnsi="宋体" w:eastAsia="仿宋_GB2312" w:cs="宋体"/>
          <w:color w:val="000000"/>
          <w:kern w:val="0"/>
          <w:sz w:val="32"/>
          <w:szCs w:val="32"/>
          <w:highlight w:val="none"/>
        </w:rPr>
        <w:t>万元</w:t>
      </w:r>
      <w:r>
        <w:rPr>
          <w:rFonts w:hint="eastAsia" w:ascii="仿宋_GB2312" w:hAnsi="宋体" w:eastAsia="仿宋_GB2312" w:cs="宋体"/>
          <w:color w:val="000000"/>
          <w:kern w:val="0"/>
          <w:sz w:val="32"/>
          <w:szCs w:val="32"/>
          <w:highlight w:val="none"/>
          <w:lang w:eastAsia="zh-CN"/>
        </w:rPr>
        <w:t>，</w:t>
      </w:r>
      <w:r>
        <w:rPr>
          <w:rFonts w:ascii="仿宋_GB2312" w:hAnsi="宋体" w:eastAsia="仿宋_GB2312" w:cs="宋体"/>
          <w:color w:val="000000"/>
          <w:kern w:val="0"/>
          <w:sz w:val="32"/>
          <w:szCs w:val="32"/>
        </w:rPr>
        <w:t>项目</w:t>
      </w:r>
      <w:r>
        <w:rPr>
          <w:rFonts w:hint="eastAsia" w:ascii="仿宋_GB2312" w:hAnsi="宋体" w:eastAsia="仿宋_GB2312" w:cs="宋体"/>
          <w:color w:val="000000"/>
          <w:kern w:val="0"/>
          <w:sz w:val="32"/>
          <w:szCs w:val="32"/>
        </w:rPr>
        <w:t>支出</w:t>
      </w:r>
      <w:r>
        <w:rPr>
          <w:rFonts w:hint="eastAsia" w:ascii="仿宋_GB2312" w:hAnsi="宋体" w:eastAsia="仿宋_GB2312" w:cs="宋体"/>
          <w:color w:val="000000"/>
          <w:kern w:val="0"/>
          <w:sz w:val="32"/>
          <w:szCs w:val="32"/>
          <w:lang w:val="en-US" w:eastAsia="zh-CN"/>
        </w:rPr>
        <w:t>决算数709.25</w:t>
      </w:r>
      <w:r>
        <w:rPr>
          <w:rFonts w:ascii="仿宋_GB2312" w:hAnsi="宋体" w:eastAsia="仿宋_GB2312" w:cs="宋体"/>
          <w:color w:val="000000"/>
          <w:kern w:val="0"/>
          <w:sz w:val="32"/>
          <w:szCs w:val="32"/>
        </w:rPr>
        <w:t>万元</w:t>
      </w:r>
      <w:r>
        <w:rPr>
          <w:rFonts w:hint="eastAsia" w:ascii="仿宋_GB2312" w:hAnsi="宋体" w:eastAsia="仿宋_GB2312" w:cs="宋体"/>
          <w:color w:val="000000"/>
          <w:kern w:val="0"/>
          <w:sz w:val="32"/>
          <w:szCs w:val="32"/>
          <w:lang w:eastAsia="zh-CN"/>
        </w:rPr>
        <w:t>，</w:t>
      </w:r>
      <w:r>
        <w:rPr>
          <w:rFonts w:hint="eastAsia" w:ascii="仿宋_GB2312" w:hAnsi="宋体" w:eastAsia="仿宋_GB2312" w:cs="宋体"/>
          <w:color w:val="000000"/>
          <w:kern w:val="0"/>
          <w:sz w:val="32"/>
          <w:szCs w:val="32"/>
          <w:highlight w:val="none"/>
          <w:lang w:val="en-US" w:eastAsia="zh-CN"/>
        </w:rPr>
        <w:t>其中：安保安检工作产出成本61.92 万元；绩效咨询服务费4.50万元；检察工作经费80.08 万元；信息化运维费产出成本20.00万元；互联网接入费产出成本8.21万元；业务装备费产出成本31.20万元；办案业务费产出成本502.59万元；</w:t>
      </w:r>
      <w:r>
        <w:rPr>
          <w:rFonts w:hint="eastAsia" w:ascii="仿宋_GB2312" w:hAnsi="宋体" w:eastAsia="仿宋_GB2312" w:cs="宋体"/>
          <w:color w:val="000000"/>
          <w:kern w:val="0"/>
          <w:sz w:val="32"/>
          <w:szCs w:val="32"/>
          <w:lang w:val="en-US" w:eastAsia="zh-CN"/>
        </w:rPr>
        <w:t>区财政拨款项目</w:t>
      </w:r>
      <w:r>
        <w:rPr>
          <w:rFonts w:hint="eastAsia" w:ascii="仿宋_GB2312" w:hAnsi="宋体" w:eastAsia="仿宋_GB2312" w:cs="宋体"/>
          <w:color w:val="000000"/>
          <w:kern w:val="0"/>
          <w:sz w:val="32"/>
          <w:szCs w:val="32"/>
          <w:highlight w:val="none"/>
          <w:lang w:val="en-US" w:eastAsia="zh-CN"/>
        </w:rPr>
        <w:t>产出成本0.76万元，为第一书记专项补贴。产出成本与预算存在差异，主要原因为该项目在2022年度申报预算，但区财政只对第一书记专项补贴进行拨款，其余款项未拨款。</w:t>
      </w:r>
    </w:p>
    <w:p>
      <w:pPr>
        <w:spacing w:line="600" w:lineRule="exact"/>
        <w:ind w:left="105" w:leftChars="50" w:firstLine="480" w:firstLineChars="150"/>
        <w:outlineLvl w:val="1"/>
        <w:rPr>
          <w:rFonts w:ascii="楷体_GB2312" w:eastAsia="楷体_GB2312"/>
          <w:sz w:val="32"/>
          <w:szCs w:val="32"/>
        </w:rPr>
      </w:pPr>
      <w:bookmarkStart w:id="31" w:name="_Toc25763"/>
      <w:bookmarkStart w:id="32" w:name="_Toc30206"/>
      <w:bookmarkStart w:id="33" w:name="_Toc8834"/>
      <w:bookmarkStart w:id="34" w:name="_Toc1684"/>
      <w:r>
        <w:rPr>
          <w:rFonts w:hint="eastAsia" w:ascii="楷体_GB2312" w:eastAsia="楷体_GB2312"/>
          <w:sz w:val="32"/>
          <w:szCs w:val="32"/>
        </w:rPr>
        <w:t>（二）效果</w:t>
      </w:r>
      <w:r>
        <w:rPr>
          <w:rFonts w:ascii="楷体_GB2312" w:eastAsia="楷体_GB2312"/>
          <w:sz w:val="32"/>
          <w:szCs w:val="32"/>
        </w:rPr>
        <w:t>实现情况分析</w:t>
      </w:r>
      <w:bookmarkEnd w:id="31"/>
      <w:bookmarkEnd w:id="32"/>
      <w:bookmarkEnd w:id="33"/>
      <w:bookmarkEnd w:id="34"/>
    </w:p>
    <w:p>
      <w:pPr>
        <w:pStyle w:val="16"/>
        <w:keepNext w:val="0"/>
        <w:keepLines w:val="0"/>
        <w:pageBreakBefore w:val="0"/>
        <w:widowControl w:val="0"/>
        <w:numPr>
          <w:ilvl w:val="-1"/>
          <w:numId w:val="0"/>
        </w:numPr>
        <w:kinsoku/>
        <w:wordWrap/>
        <w:overflowPunct/>
        <w:topLinePunct w:val="0"/>
        <w:autoSpaceDE/>
        <w:autoSpaceDN/>
        <w:bidi w:val="0"/>
        <w:adjustRightInd/>
        <w:snapToGrid/>
        <w:spacing w:line="560" w:lineRule="exact"/>
        <w:ind w:left="0" w:right="0" w:rightChars="0" w:firstLine="640" w:firstLineChars="200"/>
        <w:jc w:val="both"/>
        <w:textAlignment w:val="auto"/>
        <w:outlineLvl w:val="2"/>
        <w:rPr>
          <w:rFonts w:hint="eastAsia" w:ascii="仿宋_GB2312" w:hAnsi="宋体" w:eastAsia="仿宋_GB2312" w:cs="宋体"/>
          <w:b w:val="0"/>
          <w:bCs w:val="0"/>
          <w:color w:val="000000"/>
          <w:kern w:val="0"/>
          <w:sz w:val="32"/>
          <w:szCs w:val="32"/>
          <w:lang w:eastAsia="zh-CN"/>
        </w:rPr>
      </w:pPr>
      <w:r>
        <w:rPr>
          <w:rFonts w:hint="eastAsia" w:ascii="仿宋_GB2312" w:hAnsi="宋体" w:eastAsia="仿宋_GB2312" w:cs="宋体"/>
          <w:b w:val="0"/>
          <w:bCs w:val="0"/>
          <w:color w:val="000000"/>
          <w:kern w:val="0"/>
          <w:sz w:val="32"/>
          <w:szCs w:val="32"/>
          <w:lang w:val="en-US" w:eastAsia="zh-CN"/>
        </w:rPr>
        <w:t>1.</w:t>
      </w:r>
      <w:r>
        <w:rPr>
          <w:rFonts w:hint="eastAsia" w:ascii="仿宋_GB2312" w:hAnsi="宋体" w:eastAsia="仿宋_GB2312" w:cs="宋体"/>
          <w:b w:val="0"/>
          <w:bCs w:val="0"/>
          <w:color w:val="000000"/>
          <w:kern w:val="0"/>
          <w:sz w:val="32"/>
          <w:szCs w:val="32"/>
        </w:rPr>
        <w:t>经济效益</w:t>
      </w:r>
      <w:r>
        <w:rPr>
          <w:rFonts w:hint="eastAsia" w:ascii="仿宋_GB2312" w:hAnsi="宋体" w:eastAsia="仿宋_GB2312" w:cs="宋体"/>
          <w:b w:val="0"/>
          <w:bCs w:val="0"/>
          <w:color w:val="000000"/>
          <w:kern w:val="0"/>
          <w:sz w:val="32"/>
          <w:szCs w:val="32"/>
          <w:lang w:eastAsia="zh-CN"/>
        </w:rPr>
        <w:t>：</w:t>
      </w:r>
    </w:p>
    <w:p>
      <w:pPr>
        <w:pStyle w:val="16"/>
        <w:keepNext w:val="0"/>
        <w:keepLines w:val="0"/>
        <w:pageBreakBefore w:val="0"/>
        <w:widowControl w:val="0"/>
        <w:numPr>
          <w:ilvl w:val="-1"/>
          <w:numId w:val="0"/>
        </w:numPr>
        <w:kinsoku/>
        <w:wordWrap/>
        <w:overflowPunct/>
        <w:topLinePunct w:val="0"/>
        <w:autoSpaceDE/>
        <w:autoSpaceDN/>
        <w:bidi w:val="0"/>
        <w:adjustRightInd/>
        <w:snapToGrid/>
        <w:spacing w:line="560" w:lineRule="exact"/>
        <w:ind w:left="0" w:right="0" w:rightChars="0" w:firstLine="640" w:firstLineChars="200"/>
        <w:jc w:val="both"/>
        <w:textAlignment w:val="auto"/>
        <w:outlineLvl w:val="9"/>
        <w:rPr>
          <w:rFonts w:hint="eastAsia" w:ascii="仿宋_GB2312" w:hAnsi="宋体" w:eastAsia="仿宋_GB2312" w:cs="宋体"/>
          <w:b w:val="0"/>
          <w:bCs w:val="0"/>
          <w:color w:val="000000"/>
          <w:kern w:val="0"/>
          <w:sz w:val="32"/>
          <w:szCs w:val="32"/>
          <w:lang w:val="en-US" w:eastAsia="zh-CN"/>
        </w:rPr>
      </w:pPr>
      <w:r>
        <w:rPr>
          <w:rFonts w:hint="eastAsia" w:ascii="仿宋_GB2312" w:hAnsi="宋体" w:eastAsia="仿宋_GB2312" w:cs="宋体"/>
          <w:b w:val="0"/>
          <w:bCs w:val="0"/>
          <w:color w:val="000000"/>
          <w:kern w:val="0"/>
          <w:sz w:val="32"/>
          <w:szCs w:val="32"/>
          <w:lang w:val="en-US" w:eastAsia="zh-CN"/>
        </w:rPr>
        <w:t>不涉及。</w:t>
      </w:r>
    </w:p>
    <w:p>
      <w:pPr>
        <w:pStyle w:val="16"/>
        <w:keepNext w:val="0"/>
        <w:keepLines w:val="0"/>
        <w:pageBreakBefore w:val="0"/>
        <w:widowControl w:val="0"/>
        <w:numPr>
          <w:ilvl w:val="-1"/>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2"/>
        <w:rPr>
          <w:rFonts w:hint="eastAsia" w:ascii="仿宋_GB2312" w:hAnsi="宋体" w:eastAsia="仿宋_GB2312" w:cs="宋体"/>
          <w:b w:val="0"/>
          <w:bCs w:val="0"/>
          <w:color w:val="000000"/>
          <w:kern w:val="0"/>
          <w:sz w:val="32"/>
          <w:szCs w:val="32"/>
          <w:lang w:eastAsia="zh-CN"/>
        </w:rPr>
      </w:pPr>
      <w:r>
        <w:rPr>
          <w:rFonts w:hint="eastAsia" w:ascii="仿宋_GB2312" w:hAnsi="宋体" w:eastAsia="仿宋_GB2312" w:cs="宋体"/>
          <w:b w:val="0"/>
          <w:bCs w:val="0"/>
          <w:color w:val="000000"/>
          <w:kern w:val="0"/>
          <w:sz w:val="32"/>
          <w:szCs w:val="32"/>
          <w:lang w:val="en-US" w:eastAsia="zh-CN"/>
        </w:rPr>
        <w:t>2.</w:t>
      </w:r>
      <w:r>
        <w:rPr>
          <w:rFonts w:hint="eastAsia" w:ascii="仿宋_GB2312" w:hAnsi="宋体" w:eastAsia="仿宋_GB2312" w:cs="宋体"/>
          <w:b w:val="0"/>
          <w:bCs w:val="0"/>
          <w:color w:val="000000"/>
          <w:kern w:val="0"/>
          <w:sz w:val="32"/>
          <w:szCs w:val="32"/>
        </w:rPr>
        <w:t>社会效益</w:t>
      </w:r>
      <w:r>
        <w:rPr>
          <w:rFonts w:hint="eastAsia" w:ascii="仿宋_GB2312" w:hAnsi="宋体" w:eastAsia="仿宋_GB2312" w:cs="宋体"/>
          <w:b w:val="0"/>
          <w:bCs w:val="0"/>
          <w:color w:val="000000"/>
          <w:kern w:val="0"/>
          <w:sz w:val="32"/>
          <w:szCs w:val="32"/>
          <w:lang w:eastAsia="zh-CN"/>
        </w:rPr>
        <w:t>：</w:t>
      </w:r>
    </w:p>
    <w:p>
      <w:pPr>
        <w:pStyle w:val="16"/>
        <w:keepNext w:val="0"/>
        <w:keepLines w:val="0"/>
        <w:numPr>
          <w:ilvl w:val="-1"/>
          <w:numId w:val="0"/>
        </w:numPr>
        <w:spacing w:line="560" w:lineRule="exact"/>
        <w:ind w:firstLine="640" w:firstLineChars="200"/>
        <w:outlineLvl w:val="9"/>
        <w:rPr>
          <w:rFonts w:hint="eastAsia" w:ascii="仿宋_GB2312" w:hAnsi="宋体" w:eastAsia="仿宋_GB2312" w:cs="宋体"/>
          <w:b w:val="0"/>
          <w:bCs w:val="0"/>
          <w:color w:val="000000"/>
          <w:kern w:val="0"/>
          <w:sz w:val="32"/>
          <w:szCs w:val="32"/>
        </w:rPr>
      </w:pPr>
      <w:r>
        <w:rPr>
          <w:rFonts w:hint="eastAsia" w:ascii="仿宋_GB2312" w:hAnsi="宋体" w:eastAsia="仿宋_GB2312" w:cs="宋体"/>
          <w:b w:val="0"/>
          <w:bCs w:val="0"/>
          <w:color w:val="000000"/>
          <w:kern w:val="0"/>
          <w:sz w:val="32"/>
          <w:szCs w:val="32"/>
          <w:lang w:val="en-US" w:eastAsia="zh-CN"/>
        </w:rPr>
        <w:t>总体自评认为，通过项目的实施，更好地发挥了我院检察职能，贯彻落实中共中央“全面推进依法治国”决定，营造了公正、高效、权威的法治环境，为构建和谐社会提供有力的司法保障，更好地适应了和谐社会建设的新要求，并为维护国家和地区的长治久安、保障人民安居乐业提供强有力的支撑和保障。</w:t>
      </w:r>
    </w:p>
    <w:p>
      <w:pPr>
        <w:pStyle w:val="16"/>
        <w:keepNext w:val="0"/>
        <w:keepLines w:val="0"/>
        <w:numPr>
          <w:ilvl w:val="-1"/>
          <w:numId w:val="0"/>
        </w:numPr>
        <w:spacing w:line="560" w:lineRule="exact"/>
        <w:ind w:firstLine="640" w:firstLineChars="200"/>
        <w:outlineLvl w:val="2"/>
        <w:rPr>
          <w:rFonts w:hint="eastAsia" w:ascii="仿宋_GB2312" w:hAnsi="宋体" w:eastAsia="仿宋_GB2312" w:cs="宋体"/>
          <w:b w:val="0"/>
          <w:bCs w:val="0"/>
          <w:color w:val="000000"/>
          <w:kern w:val="0"/>
          <w:sz w:val="32"/>
          <w:szCs w:val="32"/>
          <w:lang w:val="en-US" w:eastAsia="zh-CN"/>
        </w:rPr>
      </w:pPr>
      <w:r>
        <w:rPr>
          <w:rFonts w:hint="eastAsia" w:ascii="仿宋_GB2312" w:hAnsi="宋体" w:eastAsia="仿宋_GB2312" w:cs="宋体"/>
          <w:b w:val="0"/>
          <w:bCs w:val="0"/>
          <w:color w:val="000000"/>
          <w:kern w:val="0"/>
          <w:sz w:val="32"/>
          <w:szCs w:val="32"/>
          <w:lang w:val="en-US" w:eastAsia="zh-CN"/>
        </w:rPr>
        <w:t>3.环境效益</w:t>
      </w:r>
    </w:p>
    <w:p>
      <w:pPr>
        <w:pStyle w:val="16"/>
        <w:keepNext w:val="0"/>
        <w:keepLines w:val="0"/>
        <w:numPr>
          <w:ilvl w:val="-1"/>
          <w:numId w:val="0"/>
        </w:numPr>
        <w:spacing w:line="560" w:lineRule="exact"/>
        <w:ind w:firstLine="640" w:firstLineChars="200"/>
        <w:outlineLvl w:val="9"/>
        <w:rPr>
          <w:rFonts w:hint="eastAsia" w:ascii="仿宋_GB2312" w:hAnsi="宋体" w:eastAsia="仿宋_GB2312" w:cs="宋体"/>
          <w:b w:val="0"/>
          <w:bCs w:val="0"/>
          <w:color w:val="000000"/>
          <w:kern w:val="0"/>
          <w:sz w:val="32"/>
          <w:szCs w:val="32"/>
          <w:lang w:val="en-US" w:eastAsia="zh-CN"/>
        </w:rPr>
      </w:pPr>
      <w:r>
        <w:rPr>
          <w:rFonts w:hint="eastAsia" w:ascii="仿宋_GB2312" w:hAnsi="宋体" w:eastAsia="仿宋_GB2312" w:cs="宋体"/>
          <w:b w:val="0"/>
          <w:bCs w:val="0"/>
          <w:color w:val="000000"/>
          <w:kern w:val="0"/>
          <w:sz w:val="32"/>
          <w:szCs w:val="32"/>
          <w:lang w:val="en-US" w:eastAsia="zh-CN"/>
        </w:rPr>
        <w:t>不涉及</w:t>
      </w:r>
    </w:p>
    <w:p>
      <w:pPr>
        <w:pStyle w:val="16"/>
        <w:numPr>
          <w:ilvl w:val="-1"/>
          <w:numId w:val="0"/>
        </w:numPr>
        <w:spacing w:line="560" w:lineRule="exact"/>
        <w:ind w:firstLine="640" w:firstLineChars="200"/>
        <w:outlineLvl w:val="2"/>
        <w:rPr>
          <w:rFonts w:hint="eastAsia" w:ascii="仿宋_GB2312" w:hAnsi="宋体" w:eastAsia="仿宋_GB2312" w:cs="宋体"/>
          <w:b w:val="0"/>
          <w:bCs w:val="0"/>
          <w:color w:val="000000"/>
          <w:kern w:val="0"/>
          <w:sz w:val="32"/>
          <w:szCs w:val="32"/>
        </w:rPr>
      </w:pPr>
      <w:r>
        <w:rPr>
          <w:rFonts w:hint="eastAsia" w:ascii="仿宋_GB2312" w:hAnsi="宋体" w:eastAsia="仿宋_GB2312" w:cs="宋体"/>
          <w:b w:val="0"/>
          <w:bCs w:val="0"/>
          <w:color w:val="000000"/>
          <w:kern w:val="0"/>
          <w:sz w:val="32"/>
          <w:szCs w:val="32"/>
          <w:lang w:val="en-US" w:eastAsia="zh-CN"/>
        </w:rPr>
        <w:t>4.</w:t>
      </w:r>
      <w:r>
        <w:rPr>
          <w:rFonts w:hint="eastAsia" w:ascii="仿宋_GB2312" w:hAnsi="宋体" w:eastAsia="仿宋_GB2312" w:cs="宋体"/>
          <w:b w:val="0"/>
          <w:bCs w:val="0"/>
          <w:color w:val="000000"/>
          <w:kern w:val="0"/>
          <w:sz w:val="32"/>
          <w:szCs w:val="32"/>
        </w:rPr>
        <w:t>可持续性影响</w:t>
      </w:r>
    </w:p>
    <w:p>
      <w:pPr>
        <w:pStyle w:val="16"/>
        <w:spacing w:line="560" w:lineRule="exact"/>
        <w:ind w:firstLine="640" w:firstLineChars="200"/>
        <w:rPr>
          <w:rFonts w:hint="eastAsia" w:ascii="仿宋_GB2312" w:hAnsi="宋体" w:eastAsia="仿宋_GB2312" w:cs="宋体"/>
          <w:b w:val="0"/>
          <w:bCs w:val="0"/>
          <w:color w:val="000000"/>
          <w:kern w:val="0"/>
          <w:sz w:val="32"/>
          <w:szCs w:val="32"/>
          <w:lang w:val="en-US" w:eastAsia="zh-CN"/>
        </w:rPr>
      </w:pPr>
      <w:r>
        <w:rPr>
          <w:rFonts w:hint="eastAsia" w:ascii="仿宋_GB2312" w:hAnsi="宋体" w:eastAsia="仿宋_GB2312" w:cs="宋体"/>
          <w:b w:val="0"/>
          <w:bCs w:val="0"/>
          <w:color w:val="000000"/>
          <w:kern w:val="0"/>
          <w:sz w:val="32"/>
          <w:szCs w:val="32"/>
          <w:lang w:val="en-US" w:eastAsia="zh-CN"/>
        </w:rPr>
        <w:t>总体自评认为，我院充分发挥单位职能，保障各项检察业务工作有序开展，围绕中心工作履行检察职能，在维护首都工作大局，维护社会安全稳定，强化法律监督</w:t>
      </w:r>
      <w:r>
        <w:rPr>
          <w:rFonts w:hint="eastAsia" w:ascii="仿宋_GB2312" w:hAnsi="宋体" w:eastAsia="仿宋_GB2312" w:cs="宋体"/>
          <w:b w:val="0"/>
          <w:bCs w:val="0"/>
          <w:color w:val="000000"/>
          <w:kern w:val="0"/>
          <w:sz w:val="32"/>
          <w:szCs w:val="32"/>
        </w:rPr>
        <w:t>等方面</w:t>
      </w:r>
      <w:r>
        <w:rPr>
          <w:rFonts w:hint="eastAsia" w:ascii="仿宋_GB2312" w:hAnsi="宋体" w:eastAsia="仿宋_GB2312" w:cs="宋体"/>
          <w:b w:val="0"/>
          <w:bCs w:val="0"/>
          <w:color w:val="000000"/>
          <w:kern w:val="0"/>
          <w:sz w:val="32"/>
          <w:szCs w:val="32"/>
          <w:lang w:val="en-US" w:eastAsia="zh-CN"/>
        </w:rPr>
        <w:t>具有可持续性。</w:t>
      </w:r>
    </w:p>
    <w:p>
      <w:pPr>
        <w:keepNext w:val="0"/>
        <w:keepLines w:val="0"/>
        <w:pageBreakBefore w:val="0"/>
        <w:widowControl w:val="0"/>
        <w:kinsoku/>
        <w:wordWrap/>
        <w:overflowPunct/>
        <w:topLinePunct w:val="0"/>
        <w:autoSpaceDE/>
        <w:autoSpaceDN/>
        <w:bidi w:val="0"/>
        <w:adjustRightInd/>
        <w:snapToGrid/>
        <w:spacing w:line="560" w:lineRule="exact"/>
        <w:ind w:left="105" w:leftChars="50" w:firstLine="480" w:firstLineChars="150"/>
        <w:textAlignment w:val="auto"/>
        <w:outlineLvl w:val="2"/>
        <w:rPr>
          <w:rFonts w:hint="eastAsia" w:ascii="仿宋_GB2312" w:hAnsi="宋体" w:eastAsia="仿宋_GB2312" w:cs="宋体"/>
          <w:b w:val="0"/>
          <w:bCs w:val="0"/>
          <w:color w:val="000000"/>
          <w:kern w:val="0"/>
          <w:sz w:val="32"/>
          <w:szCs w:val="32"/>
        </w:rPr>
      </w:pPr>
      <w:r>
        <w:rPr>
          <w:rFonts w:hint="eastAsia" w:ascii="仿宋_GB2312" w:hAnsi="宋体" w:eastAsia="仿宋_GB2312" w:cs="宋体"/>
          <w:b w:val="0"/>
          <w:bCs w:val="0"/>
          <w:color w:val="000000"/>
          <w:kern w:val="0"/>
          <w:sz w:val="32"/>
          <w:szCs w:val="32"/>
          <w:lang w:val="en-US" w:eastAsia="zh-CN"/>
        </w:rPr>
        <w:t>5.</w:t>
      </w:r>
      <w:r>
        <w:rPr>
          <w:rFonts w:hint="eastAsia" w:ascii="仿宋_GB2312" w:hAnsi="宋体" w:eastAsia="仿宋_GB2312" w:cs="宋体"/>
          <w:b w:val="0"/>
          <w:bCs w:val="0"/>
          <w:color w:val="000000"/>
          <w:kern w:val="0"/>
          <w:sz w:val="32"/>
          <w:szCs w:val="32"/>
        </w:rPr>
        <w:t>服务对象满意度</w:t>
      </w:r>
    </w:p>
    <w:p>
      <w:pPr>
        <w:keepNext w:val="0"/>
        <w:keepLines w:val="0"/>
        <w:pageBreakBefore w:val="0"/>
        <w:widowControl w:val="0"/>
        <w:kinsoku/>
        <w:wordWrap/>
        <w:overflowPunct/>
        <w:topLinePunct w:val="0"/>
        <w:autoSpaceDE/>
        <w:autoSpaceDN/>
        <w:bidi w:val="0"/>
        <w:adjustRightInd/>
        <w:snapToGrid/>
        <w:spacing w:line="560" w:lineRule="exact"/>
        <w:ind w:left="105" w:leftChars="50" w:firstLine="480" w:firstLineChars="150"/>
        <w:textAlignment w:val="auto"/>
        <w:rPr>
          <w:rFonts w:hint="eastAsia" w:ascii="仿宋_GB2312" w:hAnsi="宋体" w:eastAsia="仿宋_GB2312" w:cs="宋体"/>
          <w:b w:val="0"/>
          <w:bCs w:val="0"/>
          <w:color w:val="000000"/>
          <w:kern w:val="0"/>
          <w:sz w:val="32"/>
          <w:szCs w:val="32"/>
          <w:lang w:val="en-US" w:eastAsia="zh-CN"/>
        </w:rPr>
      </w:pPr>
      <w:r>
        <w:rPr>
          <w:rFonts w:hint="eastAsia" w:ascii="仿宋_GB2312" w:hAnsi="宋体" w:eastAsia="仿宋_GB2312" w:cs="宋体"/>
          <w:b w:val="0"/>
          <w:bCs w:val="0"/>
          <w:color w:val="000000"/>
          <w:kern w:val="0"/>
          <w:sz w:val="32"/>
          <w:szCs w:val="32"/>
          <w:lang w:val="en-US" w:eastAsia="zh-CN"/>
        </w:rPr>
        <w:t>总体自评认为，我院</w:t>
      </w:r>
      <w:r>
        <w:rPr>
          <w:rFonts w:hint="eastAsia" w:ascii="仿宋_GB2312" w:hAnsi="宋体" w:eastAsia="仿宋_GB2312" w:cs="宋体"/>
          <w:b w:val="0"/>
          <w:bCs w:val="0"/>
          <w:color w:val="000000"/>
          <w:kern w:val="0"/>
          <w:sz w:val="32"/>
          <w:szCs w:val="32"/>
          <w:lang w:val="en-US" w:eastAsia="zh-CN" w:bidi="ar-SA"/>
        </w:rPr>
        <w:t>项目满意度反馈信息不够全面，满意度调查有待完善。</w:t>
      </w:r>
    </w:p>
    <w:p>
      <w:pPr>
        <w:spacing w:line="600" w:lineRule="exact"/>
        <w:ind w:left="105" w:leftChars="50" w:firstLine="480" w:firstLineChars="150"/>
        <w:outlineLvl w:val="0"/>
        <w:rPr>
          <w:rFonts w:hint="eastAsia" w:ascii="黑体" w:hAnsi="黑体" w:eastAsia="黑体" w:cs="宋体"/>
          <w:color w:val="000000"/>
          <w:kern w:val="0"/>
          <w:sz w:val="32"/>
          <w:szCs w:val="32"/>
          <w:highlight w:val="none"/>
        </w:rPr>
      </w:pPr>
      <w:bookmarkStart w:id="35" w:name="_Toc17963"/>
      <w:bookmarkStart w:id="36" w:name="_Toc22647"/>
      <w:bookmarkStart w:id="37" w:name="_Toc18664"/>
      <w:bookmarkStart w:id="38" w:name="_Toc19106"/>
      <w:r>
        <w:rPr>
          <w:rFonts w:hint="eastAsia" w:ascii="黑体" w:hAnsi="黑体" w:eastAsia="黑体" w:cs="宋体"/>
          <w:color w:val="000000"/>
          <w:kern w:val="0"/>
          <w:sz w:val="32"/>
          <w:szCs w:val="32"/>
          <w:highlight w:val="none"/>
        </w:rPr>
        <w:t>四</w:t>
      </w:r>
      <w:r>
        <w:rPr>
          <w:rFonts w:ascii="黑体" w:hAnsi="黑体" w:eastAsia="黑体" w:cs="宋体"/>
          <w:color w:val="000000"/>
          <w:kern w:val="0"/>
          <w:sz w:val="32"/>
          <w:szCs w:val="32"/>
          <w:highlight w:val="none"/>
        </w:rPr>
        <w:t>、预算管理</w:t>
      </w:r>
      <w:r>
        <w:rPr>
          <w:rFonts w:hint="eastAsia" w:ascii="黑体" w:hAnsi="黑体" w:eastAsia="黑体" w:cs="宋体"/>
          <w:color w:val="000000"/>
          <w:kern w:val="0"/>
          <w:sz w:val="32"/>
          <w:szCs w:val="32"/>
          <w:highlight w:val="none"/>
        </w:rPr>
        <w:t>情况分</w:t>
      </w:r>
      <w:r>
        <w:rPr>
          <w:rFonts w:ascii="黑体" w:hAnsi="黑体" w:eastAsia="黑体" w:cs="宋体"/>
          <w:color w:val="000000"/>
          <w:kern w:val="0"/>
          <w:sz w:val="32"/>
          <w:szCs w:val="32"/>
          <w:highlight w:val="none"/>
        </w:rPr>
        <w:t>析</w:t>
      </w:r>
      <w:bookmarkEnd w:id="35"/>
      <w:bookmarkEnd w:id="36"/>
      <w:bookmarkEnd w:id="37"/>
      <w:bookmarkEnd w:id="38"/>
    </w:p>
    <w:p>
      <w:pPr>
        <w:spacing w:line="600" w:lineRule="exact"/>
        <w:ind w:left="105" w:leftChars="50" w:firstLine="480" w:firstLineChars="150"/>
        <w:outlineLvl w:val="1"/>
        <w:rPr>
          <w:rFonts w:ascii="楷体_GB2312" w:eastAsia="楷体_GB2312"/>
          <w:sz w:val="32"/>
          <w:szCs w:val="32"/>
        </w:rPr>
      </w:pPr>
      <w:bookmarkStart w:id="39" w:name="_Toc19959"/>
      <w:bookmarkStart w:id="40" w:name="_Toc29143"/>
      <w:bookmarkStart w:id="41" w:name="_Toc32474"/>
      <w:bookmarkStart w:id="42" w:name="_Toc20391"/>
      <w:r>
        <w:rPr>
          <w:rFonts w:hint="eastAsia" w:ascii="楷体_GB2312" w:eastAsia="楷体_GB2312"/>
          <w:sz w:val="32"/>
          <w:szCs w:val="32"/>
        </w:rPr>
        <w:t>（一）财务管理</w:t>
      </w:r>
      <w:bookmarkEnd w:id="39"/>
      <w:bookmarkEnd w:id="40"/>
      <w:bookmarkEnd w:id="41"/>
      <w:bookmarkEnd w:id="42"/>
    </w:p>
    <w:p>
      <w:pPr>
        <w:spacing w:line="600" w:lineRule="exact"/>
        <w:ind w:left="105" w:leftChars="50" w:firstLine="480" w:firstLineChars="150"/>
        <w:rPr>
          <w:rFonts w:hint="eastAsia" w:ascii="仿宋_GB2312" w:hAnsi="宋体" w:eastAsia="仿宋_GB2312" w:cs="宋体"/>
          <w:color w:val="000000"/>
          <w:kern w:val="0"/>
          <w:sz w:val="32"/>
          <w:szCs w:val="32"/>
          <w:lang w:eastAsia="zh-CN"/>
        </w:rPr>
      </w:pPr>
      <w:r>
        <w:rPr>
          <w:rFonts w:hint="eastAsia" w:ascii="仿宋_GB2312" w:hAnsi="宋体" w:eastAsia="仿宋_GB2312" w:cs="宋体"/>
          <w:color w:val="000000"/>
          <w:kern w:val="0"/>
          <w:sz w:val="32"/>
          <w:szCs w:val="32"/>
          <w:lang w:val="en-US" w:eastAsia="zh-CN"/>
        </w:rPr>
        <w:t>1.我院建立了《财务管理暂行办法》、《预算管理办法》《经费支出管理办法》、《采购管理办法》《合同管理办法》、《内部审计管理办法》等制度，</w:t>
      </w:r>
      <w:r>
        <w:rPr>
          <w:rFonts w:hint="eastAsia" w:ascii="仿宋_GB2312" w:hAnsi="宋体" w:eastAsia="仿宋_GB2312" w:cs="宋体"/>
          <w:color w:val="000000"/>
          <w:kern w:val="0"/>
          <w:sz w:val="32"/>
          <w:szCs w:val="32"/>
        </w:rPr>
        <w:t>财务</w:t>
      </w:r>
      <w:r>
        <w:rPr>
          <w:rFonts w:ascii="仿宋_GB2312" w:hAnsi="宋体" w:eastAsia="仿宋_GB2312" w:cs="宋体"/>
          <w:color w:val="000000"/>
          <w:kern w:val="0"/>
          <w:sz w:val="32"/>
          <w:szCs w:val="32"/>
        </w:rPr>
        <w:t>管理制度健全</w:t>
      </w:r>
      <w:r>
        <w:rPr>
          <w:rFonts w:hint="eastAsia" w:ascii="仿宋_GB2312" w:hAnsi="宋体" w:eastAsia="仿宋_GB2312" w:cs="宋体"/>
          <w:color w:val="000000"/>
          <w:kern w:val="0"/>
          <w:sz w:val="32"/>
          <w:szCs w:val="32"/>
          <w:lang w:eastAsia="zh-CN"/>
        </w:rPr>
        <w:t>。实际执行中，严格按照财务制度执行，执行审核审批手续。</w:t>
      </w:r>
    </w:p>
    <w:p>
      <w:pPr>
        <w:spacing w:line="560" w:lineRule="exact"/>
        <w:ind w:left="105" w:leftChars="50" w:firstLine="480" w:firstLineChars="150"/>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2.2022年，我院各项</w:t>
      </w:r>
      <w:r>
        <w:rPr>
          <w:rFonts w:hint="eastAsia" w:ascii="仿宋_GB2312" w:hAnsi="宋体" w:eastAsia="仿宋_GB2312" w:cs="宋体"/>
          <w:color w:val="000000"/>
          <w:kern w:val="0"/>
          <w:sz w:val="32"/>
          <w:szCs w:val="32"/>
        </w:rPr>
        <w:t>资金</w:t>
      </w:r>
      <w:r>
        <w:rPr>
          <w:rFonts w:hint="eastAsia" w:ascii="仿宋_GB2312" w:hAnsi="宋体" w:eastAsia="仿宋_GB2312" w:cs="宋体"/>
          <w:color w:val="000000"/>
          <w:kern w:val="0"/>
          <w:sz w:val="32"/>
          <w:szCs w:val="32"/>
          <w:lang w:val="en-US" w:eastAsia="zh-CN"/>
        </w:rPr>
        <w:t>支出均参照国家、北京市相关制度及本单位相关财务制度执行，严格落实资金拨付审批程序，以保障资金及时发放到位。同时，配合市财政局开展项目监管检查、绩效评价相关工作，加强资金使用效果的监督、落实。</w:t>
      </w:r>
    </w:p>
    <w:p>
      <w:pPr>
        <w:spacing w:line="560" w:lineRule="exact"/>
        <w:ind w:left="105" w:leftChars="50" w:firstLine="480" w:firstLineChars="150"/>
        <w:outlineLvl w:val="1"/>
        <w:rPr>
          <w:rFonts w:hint="eastAsia" w:ascii="楷体_GB2312" w:eastAsia="楷体_GB2312"/>
          <w:sz w:val="32"/>
          <w:szCs w:val="32"/>
        </w:rPr>
      </w:pPr>
      <w:bookmarkStart w:id="43" w:name="_Toc8185"/>
      <w:bookmarkStart w:id="44" w:name="_Toc11625"/>
      <w:bookmarkStart w:id="45" w:name="_Toc18008"/>
      <w:bookmarkStart w:id="46" w:name="_Toc5544"/>
      <w:r>
        <w:rPr>
          <w:rFonts w:hint="eastAsia" w:ascii="楷体_GB2312" w:eastAsia="楷体_GB2312"/>
          <w:sz w:val="32"/>
          <w:szCs w:val="32"/>
          <w:lang w:eastAsia="zh-CN"/>
        </w:rPr>
        <w:t>（</w:t>
      </w:r>
      <w:r>
        <w:rPr>
          <w:rFonts w:hint="eastAsia" w:ascii="楷体_GB2312" w:eastAsia="楷体_GB2312"/>
          <w:sz w:val="32"/>
          <w:szCs w:val="32"/>
          <w:lang w:val="en-US" w:eastAsia="zh-CN"/>
        </w:rPr>
        <w:t>二</w:t>
      </w:r>
      <w:r>
        <w:rPr>
          <w:rFonts w:hint="eastAsia" w:ascii="楷体_GB2312" w:eastAsia="楷体_GB2312"/>
          <w:sz w:val="32"/>
          <w:szCs w:val="32"/>
          <w:lang w:eastAsia="zh-CN"/>
        </w:rPr>
        <w:t>）</w:t>
      </w:r>
      <w:r>
        <w:rPr>
          <w:rFonts w:hint="eastAsia" w:ascii="楷体_GB2312" w:eastAsia="楷体_GB2312"/>
          <w:sz w:val="32"/>
          <w:szCs w:val="32"/>
        </w:rPr>
        <w:t>资产管理</w:t>
      </w:r>
      <w:bookmarkEnd w:id="43"/>
      <w:bookmarkEnd w:id="44"/>
      <w:bookmarkEnd w:id="45"/>
      <w:bookmarkEnd w:id="46"/>
    </w:p>
    <w:p>
      <w:pPr>
        <w:spacing w:line="560" w:lineRule="exact"/>
        <w:ind w:left="0" w:leftChars="0" w:firstLine="640" w:firstLineChars="200"/>
        <w:rPr>
          <w:rFonts w:hint="eastAsia" w:ascii="仿宋_GB2312" w:hAnsi="宋体" w:eastAsia="仿宋_GB2312" w:cs="宋体"/>
          <w:color w:val="000000"/>
          <w:kern w:val="0"/>
          <w:sz w:val="32"/>
          <w:szCs w:val="32"/>
          <w:lang w:eastAsia="zh-CN"/>
        </w:rPr>
      </w:pPr>
      <w:r>
        <w:rPr>
          <w:rFonts w:hint="eastAsia" w:ascii="仿宋_GB2312" w:hAnsi="宋体" w:eastAsia="仿宋_GB2312" w:cs="宋体"/>
          <w:color w:val="000000"/>
          <w:kern w:val="0"/>
          <w:sz w:val="32"/>
          <w:szCs w:val="32"/>
          <w:lang w:val="en-US" w:eastAsia="zh-CN"/>
        </w:rPr>
        <w:t>1.我院建立了《固定资产管理办法（修订）》、《办公耗材管理办法》及《科技装备配备及管理办法》等管理制度，资产</w:t>
      </w:r>
      <w:r>
        <w:rPr>
          <w:rFonts w:ascii="仿宋_GB2312" w:hAnsi="宋体" w:eastAsia="仿宋_GB2312" w:cs="宋体"/>
          <w:color w:val="000000"/>
          <w:kern w:val="0"/>
          <w:sz w:val="32"/>
          <w:szCs w:val="32"/>
        </w:rPr>
        <w:t>管理制度</w:t>
      </w:r>
      <w:r>
        <w:rPr>
          <w:rFonts w:hint="eastAsia" w:ascii="仿宋_GB2312" w:hAnsi="宋体" w:eastAsia="仿宋_GB2312" w:cs="宋体"/>
          <w:color w:val="000000"/>
          <w:kern w:val="0"/>
          <w:sz w:val="32"/>
          <w:szCs w:val="32"/>
          <w:lang w:val="en-US" w:eastAsia="zh-CN"/>
        </w:rPr>
        <w:t>较为</w:t>
      </w:r>
      <w:r>
        <w:rPr>
          <w:rFonts w:ascii="仿宋_GB2312" w:hAnsi="宋体" w:eastAsia="仿宋_GB2312" w:cs="宋体"/>
          <w:color w:val="000000"/>
          <w:kern w:val="0"/>
          <w:sz w:val="32"/>
          <w:szCs w:val="32"/>
        </w:rPr>
        <w:t>健全</w:t>
      </w:r>
      <w:r>
        <w:rPr>
          <w:rFonts w:hint="eastAsia" w:ascii="仿宋_GB2312" w:hAnsi="宋体" w:eastAsia="仿宋_GB2312" w:cs="宋体"/>
          <w:color w:val="000000"/>
          <w:kern w:val="0"/>
          <w:sz w:val="32"/>
          <w:szCs w:val="32"/>
          <w:lang w:eastAsia="zh-CN"/>
        </w:rPr>
        <w:t>。</w:t>
      </w:r>
    </w:p>
    <w:p>
      <w:pPr>
        <w:spacing w:line="560" w:lineRule="exact"/>
        <w:ind w:left="0" w:leftChars="0" w:firstLine="640" w:firstLineChars="200"/>
        <w:rPr>
          <w:rFonts w:hint="default"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2.我院在资产管理方面能够按照现有制度执行，科学合理做好资产配置，加强资产的日常管理维护，挖掘资产使用价值，规范和完善资产的处置流程，充分发挥资产在单位履行职能方面的物质基础作用，有效保证单位带给公共服务的需要。</w:t>
      </w:r>
    </w:p>
    <w:p>
      <w:pPr>
        <w:numPr>
          <w:ilvl w:val="0"/>
          <w:numId w:val="1"/>
        </w:numPr>
        <w:spacing w:line="600" w:lineRule="exact"/>
        <w:ind w:left="0" w:leftChars="0" w:firstLine="640" w:firstLineChars="200"/>
        <w:outlineLvl w:val="1"/>
        <w:rPr>
          <w:rFonts w:ascii="楷体_GB2312" w:eastAsia="楷体_GB2312"/>
          <w:sz w:val="32"/>
          <w:szCs w:val="32"/>
        </w:rPr>
      </w:pPr>
      <w:bookmarkStart w:id="47" w:name="_Toc954"/>
      <w:bookmarkStart w:id="48" w:name="_Toc5684"/>
      <w:bookmarkStart w:id="49" w:name="_Toc1653"/>
      <w:bookmarkStart w:id="50" w:name="_Toc30546"/>
      <w:r>
        <w:rPr>
          <w:rFonts w:hint="eastAsia" w:ascii="楷体_GB2312" w:eastAsia="楷体_GB2312"/>
          <w:sz w:val="32"/>
          <w:szCs w:val="32"/>
        </w:rPr>
        <w:t>绩效</w:t>
      </w:r>
      <w:r>
        <w:rPr>
          <w:rFonts w:ascii="楷体_GB2312" w:eastAsia="楷体_GB2312"/>
          <w:sz w:val="32"/>
          <w:szCs w:val="32"/>
        </w:rPr>
        <w:t>管理</w:t>
      </w:r>
      <w:bookmarkEnd w:id="47"/>
      <w:bookmarkEnd w:id="48"/>
      <w:bookmarkEnd w:id="49"/>
      <w:bookmarkEnd w:id="50"/>
    </w:p>
    <w:p>
      <w:pPr>
        <w:spacing w:line="600" w:lineRule="exact"/>
        <w:ind w:left="105" w:leftChars="50" w:firstLine="800" w:firstLineChars="250"/>
        <w:rPr>
          <w:rFonts w:hint="default"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我院在部门预算绩效管理工作中，对具体项目的决策、执行、产出及效益等方面进行综合评价，评价结果经单位领导审批，确保评价结果的真实、准确、客观。通过绩效评价进一步强化了各部门对项目资金的绩效管理意识，提高了财政资金的使用效益。</w:t>
      </w:r>
    </w:p>
    <w:p>
      <w:pPr>
        <w:numPr>
          <w:ilvl w:val="0"/>
          <w:numId w:val="1"/>
        </w:numPr>
        <w:spacing w:line="560" w:lineRule="exact"/>
        <w:ind w:left="0" w:leftChars="0" w:firstLine="640" w:firstLineChars="200"/>
        <w:outlineLvl w:val="1"/>
        <w:rPr>
          <w:rFonts w:hint="eastAsia" w:ascii="楷体_GB2312" w:eastAsia="楷体_GB2312"/>
          <w:sz w:val="32"/>
          <w:szCs w:val="32"/>
        </w:rPr>
      </w:pPr>
      <w:bookmarkStart w:id="51" w:name="_Toc10417"/>
      <w:bookmarkStart w:id="52" w:name="_Toc11233"/>
      <w:bookmarkStart w:id="53" w:name="_Toc28435"/>
      <w:bookmarkStart w:id="54" w:name="_Toc24687"/>
      <w:r>
        <w:rPr>
          <w:rFonts w:hint="eastAsia" w:ascii="楷体_GB2312" w:eastAsia="楷体_GB2312"/>
          <w:sz w:val="32"/>
          <w:szCs w:val="32"/>
        </w:rPr>
        <w:t>结转结余率</w:t>
      </w:r>
      <w:bookmarkEnd w:id="51"/>
      <w:bookmarkEnd w:id="52"/>
      <w:bookmarkEnd w:id="53"/>
      <w:bookmarkEnd w:id="54"/>
    </w:p>
    <w:p>
      <w:pPr>
        <w:pStyle w:val="2"/>
        <w:numPr>
          <w:ilvl w:val="0"/>
          <w:numId w:val="0"/>
        </w:numPr>
        <w:spacing w:line="560" w:lineRule="exact"/>
        <w:rPr>
          <w:rFonts w:hint="default" w:ascii="仿宋_GB2312" w:hAnsi="宋体" w:eastAsia="仿宋_GB2312" w:cs="宋体"/>
          <w:color w:val="000000"/>
          <w:kern w:val="0"/>
          <w:sz w:val="32"/>
          <w:szCs w:val="32"/>
          <w:highlight w:val="none"/>
          <w:lang w:val="en-US" w:eastAsia="zh-CN" w:bidi="ar-SA"/>
        </w:rPr>
      </w:pPr>
      <w:r>
        <w:rPr>
          <w:rFonts w:hint="eastAsia" w:ascii="仿宋_GB2312" w:hAnsi="宋体" w:eastAsia="仿宋_GB2312" w:cs="宋体"/>
          <w:color w:val="000000"/>
          <w:kern w:val="0"/>
          <w:sz w:val="32"/>
          <w:szCs w:val="32"/>
          <w:highlight w:val="none"/>
          <w:lang w:val="en-US" w:eastAsia="zh-CN" w:bidi="ar-SA"/>
        </w:rPr>
        <w:t xml:space="preserve">   2022年结转结余资金总额为206.78万元，支出预算资金为9,499.33万元，结转结余率为2.18%</w:t>
      </w:r>
      <w:r>
        <w:rPr>
          <w:rFonts w:hint="eastAsia" w:ascii="仿宋_GB2312" w:hAnsi="宋体" w:eastAsia="仿宋_GB2312" w:cs="宋体"/>
          <w:color w:val="000000"/>
          <w:kern w:val="0"/>
          <w:sz w:val="32"/>
          <w:szCs w:val="32"/>
          <w:highlight w:val="none"/>
          <w:lang w:val="en-US" w:eastAsia="zh-CN"/>
        </w:rPr>
        <w:t>。</w:t>
      </w:r>
    </w:p>
    <w:p>
      <w:pPr>
        <w:spacing w:line="560" w:lineRule="exact"/>
        <w:ind w:left="105" w:leftChars="50" w:firstLine="480" w:firstLineChars="150"/>
        <w:outlineLvl w:val="1"/>
        <w:rPr>
          <w:rFonts w:ascii="楷体_GB2312" w:eastAsia="楷体_GB2312"/>
          <w:sz w:val="32"/>
          <w:szCs w:val="32"/>
        </w:rPr>
      </w:pPr>
      <w:bookmarkStart w:id="55" w:name="_Toc7772"/>
      <w:bookmarkStart w:id="56" w:name="_Toc19888"/>
      <w:bookmarkStart w:id="57" w:name="_Toc6259"/>
      <w:bookmarkStart w:id="58" w:name="_Toc12915"/>
      <w:r>
        <w:rPr>
          <w:rFonts w:hint="eastAsia" w:ascii="楷体_GB2312" w:eastAsia="楷体_GB2312"/>
          <w:sz w:val="32"/>
          <w:szCs w:val="32"/>
        </w:rPr>
        <w:t>（五）部门</w:t>
      </w:r>
      <w:r>
        <w:rPr>
          <w:rFonts w:ascii="楷体_GB2312" w:eastAsia="楷体_GB2312"/>
          <w:sz w:val="32"/>
          <w:szCs w:val="32"/>
        </w:rPr>
        <w:t>预决算差异率</w:t>
      </w:r>
      <w:bookmarkEnd w:id="55"/>
      <w:bookmarkEnd w:id="56"/>
      <w:bookmarkEnd w:id="57"/>
      <w:bookmarkEnd w:id="58"/>
    </w:p>
    <w:p>
      <w:pPr>
        <w:spacing w:line="560" w:lineRule="exact"/>
        <w:ind w:firstLine="640" w:firstLineChars="200"/>
        <w:rPr>
          <w:rFonts w:hint="default"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rPr>
        <w:t>2022年年初预算数8,300.08万元,资金总体支出9,213.31万元，预决算差异率为11.00%</w:t>
      </w:r>
      <w:r>
        <w:rPr>
          <w:rFonts w:hint="eastAsia" w:ascii="仿宋_GB2312" w:hAnsi="宋体" w:eastAsia="仿宋_GB2312" w:cs="宋体"/>
          <w:color w:val="000000"/>
          <w:kern w:val="0"/>
          <w:sz w:val="32"/>
          <w:szCs w:val="32"/>
          <w:highlight w:val="none"/>
          <w:lang w:val="en-US" w:eastAsia="zh-CN"/>
        </w:rPr>
        <w:t>。</w:t>
      </w:r>
    </w:p>
    <w:p>
      <w:pPr>
        <w:spacing w:line="600" w:lineRule="exact"/>
        <w:ind w:left="105" w:leftChars="50" w:firstLine="480" w:firstLineChars="150"/>
        <w:outlineLvl w:val="0"/>
        <w:rPr>
          <w:rFonts w:ascii="黑体" w:hAnsi="黑体" w:eastAsia="黑体"/>
          <w:sz w:val="32"/>
          <w:szCs w:val="32"/>
        </w:rPr>
      </w:pPr>
      <w:bookmarkStart w:id="59" w:name="_Toc27132"/>
      <w:bookmarkStart w:id="60" w:name="_Toc18052"/>
      <w:bookmarkStart w:id="61" w:name="_Toc20465"/>
      <w:bookmarkStart w:id="62" w:name="_Toc7165"/>
      <w:r>
        <w:rPr>
          <w:rFonts w:hint="eastAsia" w:ascii="黑体" w:hAnsi="黑体" w:eastAsia="黑体"/>
          <w:sz w:val="32"/>
          <w:szCs w:val="32"/>
        </w:rPr>
        <w:t>五、总体</w:t>
      </w:r>
      <w:r>
        <w:rPr>
          <w:rFonts w:ascii="黑体" w:hAnsi="黑体" w:eastAsia="黑体"/>
          <w:sz w:val="32"/>
          <w:szCs w:val="32"/>
        </w:rPr>
        <w:t>评价结论</w:t>
      </w:r>
      <w:bookmarkEnd w:id="59"/>
      <w:bookmarkEnd w:id="60"/>
      <w:bookmarkEnd w:id="61"/>
      <w:bookmarkEnd w:id="62"/>
    </w:p>
    <w:p>
      <w:pPr>
        <w:spacing w:line="600" w:lineRule="exact"/>
        <w:ind w:left="105" w:leftChars="50" w:firstLine="480" w:firstLineChars="150"/>
        <w:outlineLvl w:val="1"/>
        <w:rPr>
          <w:rFonts w:hint="eastAsia" w:ascii="楷体_GB2312" w:eastAsia="楷体_GB2312"/>
          <w:sz w:val="32"/>
          <w:szCs w:val="32"/>
        </w:rPr>
      </w:pPr>
      <w:bookmarkStart w:id="63" w:name="_Toc10302"/>
      <w:bookmarkStart w:id="64" w:name="_Toc16634"/>
      <w:bookmarkStart w:id="65" w:name="_Toc19878"/>
      <w:bookmarkStart w:id="66" w:name="_Toc6411"/>
      <w:r>
        <w:rPr>
          <w:rFonts w:hint="eastAsia" w:ascii="楷体_GB2312" w:eastAsia="楷体_GB2312"/>
          <w:sz w:val="32"/>
          <w:szCs w:val="32"/>
        </w:rPr>
        <w:t>（一）评价</w:t>
      </w:r>
      <w:r>
        <w:rPr>
          <w:rFonts w:ascii="楷体_GB2312" w:eastAsia="楷体_GB2312"/>
          <w:sz w:val="32"/>
          <w:szCs w:val="32"/>
        </w:rPr>
        <w:t>得分</w:t>
      </w:r>
      <w:r>
        <w:rPr>
          <w:rFonts w:hint="eastAsia" w:ascii="楷体_GB2312" w:eastAsia="楷体_GB2312"/>
          <w:sz w:val="32"/>
          <w:szCs w:val="32"/>
        </w:rPr>
        <w:t>情况</w:t>
      </w:r>
      <w:bookmarkEnd w:id="63"/>
      <w:bookmarkEnd w:id="64"/>
      <w:bookmarkEnd w:id="65"/>
      <w:bookmarkEnd w:id="66"/>
    </w:p>
    <w:p>
      <w:pPr>
        <w:spacing w:line="600" w:lineRule="exact"/>
        <w:ind w:firstLine="640" w:firstLineChars="200"/>
        <w:rPr>
          <w:rFonts w:hint="default"/>
          <w:lang w:val="en-US" w:eastAsia="zh-CN"/>
        </w:rPr>
      </w:pPr>
      <w:r>
        <w:rPr>
          <w:rFonts w:hint="eastAsia" w:ascii="仿宋_GB2312" w:hAnsi="宋体" w:eastAsia="仿宋_GB2312" w:cs="宋体"/>
          <w:color w:val="000000"/>
          <w:kern w:val="0"/>
          <w:sz w:val="32"/>
          <w:szCs w:val="32"/>
          <w:highlight w:val="none"/>
          <w:lang w:val="en-US" w:eastAsia="zh-CN"/>
        </w:rPr>
        <w:t>2022年，我院开展本年度绩效评价项目8个，占本年申报项目总数100%，涉及预算金额865.00万元，其中普通评价项目1个，涉及预算金额559.80万元，单位自评项目</w:t>
      </w:r>
      <w:ins w:id="0" w:author="jcy" w:date="2023-05-19T15:58:54Z">
        <w:bookmarkStart w:id="75" w:name="_GoBack"/>
        <w:bookmarkEnd w:id="75"/>
        <w:r>
          <w:rPr>
            <w:rFonts w:hint="eastAsia" w:ascii="仿宋_GB2312" w:hAnsi="宋体" w:eastAsia="仿宋_GB2312" w:cs="宋体"/>
            <w:color w:val="000000"/>
            <w:kern w:val="0"/>
            <w:sz w:val="32"/>
            <w:szCs w:val="32"/>
            <w:highlight w:val="none"/>
            <w:lang w:val="en-US" w:eastAsia="zh-CN"/>
          </w:rPr>
          <w:t>7</w:t>
        </w:r>
      </w:ins>
      <w:r>
        <w:rPr>
          <w:rFonts w:hint="eastAsia" w:ascii="仿宋_GB2312" w:hAnsi="宋体" w:eastAsia="仿宋_GB2312" w:cs="宋体"/>
          <w:color w:val="000000"/>
          <w:kern w:val="0"/>
          <w:sz w:val="32"/>
          <w:szCs w:val="32"/>
          <w:highlight w:val="none"/>
          <w:lang w:val="en-US" w:eastAsia="zh-CN"/>
        </w:rPr>
        <w:t>个，涉及预算金额305.20万元。评价得分在90（含）—100分的项目3个，评价得分在80（含）—90分的项目5个。</w:t>
      </w:r>
    </w:p>
    <w:tbl>
      <w:tblPr>
        <w:tblStyle w:val="1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Layout w:type="fixed"/>
        <w:tblCellMar>
          <w:top w:w="0" w:type="dxa"/>
          <w:left w:w="108" w:type="dxa"/>
          <w:bottom w:w="0" w:type="dxa"/>
          <w:right w:w="108" w:type="dxa"/>
        </w:tblCellMar>
      </w:tblPr>
      <w:tblGrid>
        <w:gridCol w:w="3639"/>
        <w:gridCol w:w="1185"/>
        <w:gridCol w:w="1756"/>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CellMar>
            <w:top w:w="0" w:type="dxa"/>
            <w:left w:w="108" w:type="dxa"/>
            <w:bottom w:w="0" w:type="dxa"/>
            <w:right w:w="108" w:type="dxa"/>
          </w:tblCellMar>
        </w:tblPrEx>
        <w:trPr>
          <w:trHeight w:val="450" w:hRule="atLeast"/>
        </w:trPr>
        <w:tc>
          <w:tcPr>
            <w:tcW w:w="2135" w:type="pct"/>
            <w:shd w:val="clear" w:color="000000" w:fill="auto"/>
            <w:noWrap w:val="0"/>
            <w:vAlign w:val="center"/>
          </w:tcPr>
          <w:p>
            <w:pPr>
              <w:widowControl/>
              <w:spacing w:line="320" w:lineRule="exact"/>
              <w:jc w:val="center"/>
              <w:rPr>
                <w:rFonts w:hint="eastAsia" w:ascii="仿宋_GB2312" w:hAnsi="仿宋_GB2312" w:cs="仿宋_GB2312"/>
                <w:b/>
                <w:bCs/>
                <w:kern w:val="0"/>
                <w:sz w:val="24"/>
                <w:szCs w:val="24"/>
                <w:highlight w:val="none"/>
              </w:rPr>
            </w:pPr>
            <w:r>
              <w:rPr>
                <w:rFonts w:hint="eastAsia" w:ascii="仿宋_GB2312" w:hAnsi="仿宋_GB2312" w:cs="仿宋_GB2312"/>
                <w:b/>
                <w:bCs/>
                <w:kern w:val="0"/>
                <w:sz w:val="24"/>
                <w:szCs w:val="24"/>
                <w:highlight w:val="none"/>
              </w:rPr>
              <w:t>评价</w:t>
            </w:r>
            <w:r>
              <w:rPr>
                <w:rFonts w:hint="eastAsia" w:ascii="仿宋_GB2312" w:hAnsi="仿宋_GB2312" w:cs="仿宋_GB2312"/>
                <w:b/>
                <w:bCs/>
                <w:kern w:val="0"/>
                <w:sz w:val="24"/>
                <w:szCs w:val="24"/>
                <w:highlight w:val="none"/>
                <w:lang w:val="en-US" w:eastAsia="zh-CN"/>
              </w:rPr>
              <w:t>项目名称</w:t>
            </w:r>
          </w:p>
        </w:tc>
        <w:tc>
          <w:tcPr>
            <w:tcW w:w="695" w:type="pct"/>
            <w:shd w:val="clear" w:color="000000" w:fill="auto"/>
            <w:noWrap w:val="0"/>
            <w:vAlign w:val="center"/>
          </w:tcPr>
          <w:p>
            <w:pPr>
              <w:widowControl/>
              <w:spacing w:line="320" w:lineRule="exact"/>
              <w:jc w:val="center"/>
              <w:rPr>
                <w:rFonts w:hint="eastAsia" w:ascii="仿宋_GB2312" w:hAnsi="仿宋_GB2312" w:cs="仿宋_GB2312"/>
                <w:b/>
                <w:bCs/>
                <w:kern w:val="0"/>
                <w:sz w:val="24"/>
                <w:szCs w:val="24"/>
                <w:highlight w:val="none"/>
              </w:rPr>
            </w:pPr>
            <w:r>
              <w:rPr>
                <w:rFonts w:hint="eastAsia" w:ascii="仿宋_GB2312" w:hAnsi="仿宋_GB2312" w:cs="仿宋_GB2312"/>
                <w:b/>
                <w:bCs/>
                <w:kern w:val="0"/>
                <w:sz w:val="24"/>
                <w:szCs w:val="24"/>
                <w:highlight w:val="none"/>
              </w:rPr>
              <w:t>分值</w:t>
            </w:r>
          </w:p>
        </w:tc>
        <w:tc>
          <w:tcPr>
            <w:tcW w:w="1030" w:type="pct"/>
            <w:shd w:val="clear" w:color="000000" w:fill="auto"/>
            <w:noWrap w:val="0"/>
            <w:vAlign w:val="center"/>
          </w:tcPr>
          <w:p>
            <w:pPr>
              <w:widowControl/>
              <w:spacing w:line="320" w:lineRule="exact"/>
              <w:jc w:val="center"/>
              <w:rPr>
                <w:rFonts w:hint="eastAsia" w:ascii="仿宋_GB2312" w:hAnsi="仿宋_GB2312" w:cs="仿宋_GB2312"/>
                <w:b/>
                <w:bCs/>
                <w:kern w:val="0"/>
                <w:sz w:val="24"/>
                <w:szCs w:val="24"/>
                <w:highlight w:val="none"/>
              </w:rPr>
            </w:pPr>
            <w:r>
              <w:rPr>
                <w:rFonts w:hint="eastAsia" w:ascii="仿宋_GB2312" w:hAnsi="仿宋_GB2312" w:cs="仿宋_GB2312"/>
                <w:b/>
                <w:bCs/>
                <w:kern w:val="0"/>
                <w:sz w:val="24"/>
                <w:szCs w:val="24"/>
                <w:highlight w:val="none"/>
              </w:rPr>
              <w:t>绩效评定级别</w:t>
            </w:r>
          </w:p>
        </w:tc>
        <w:tc>
          <w:tcPr>
            <w:tcW w:w="1138" w:type="pct"/>
            <w:shd w:val="clear" w:color="000000" w:fill="auto"/>
            <w:noWrap w:val="0"/>
            <w:vAlign w:val="center"/>
          </w:tcPr>
          <w:p>
            <w:pPr>
              <w:widowControl/>
              <w:spacing w:line="320" w:lineRule="exact"/>
              <w:jc w:val="center"/>
              <w:rPr>
                <w:rFonts w:hint="default" w:ascii="仿宋_GB2312" w:hAnsi="仿宋_GB2312" w:eastAsia="宋体" w:cs="仿宋_GB2312"/>
                <w:b/>
                <w:bCs/>
                <w:kern w:val="0"/>
                <w:sz w:val="24"/>
                <w:szCs w:val="24"/>
                <w:highlight w:val="none"/>
                <w:lang w:val="en-US" w:eastAsia="zh-CN"/>
              </w:rPr>
            </w:pPr>
            <w:r>
              <w:rPr>
                <w:rFonts w:hint="eastAsia" w:ascii="仿宋_GB2312" w:hAnsi="仿宋_GB2312" w:cs="仿宋_GB2312"/>
                <w:b/>
                <w:bCs/>
                <w:kern w:val="0"/>
                <w:sz w:val="24"/>
                <w:szCs w:val="24"/>
                <w:highlight w:val="none"/>
                <w:lang w:val="en-US" w:eastAsia="zh-CN"/>
              </w:rPr>
              <w:t>预算资金（万元）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2135" w:type="pct"/>
            <w:shd w:val="clear" w:color="000000" w:fill="auto"/>
            <w:noWrap w:val="0"/>
            <w:vAlign w:val="center"/>
          </w:tcPr>
          <w:p>
            <w:pPr>
              <w:widowControl/>
              <w:spacing w:line="320" w:lineRule="exact"/>
              <w:ind w:firstLine="480" w:firstLineChars="200"/>
              <w:jc w:val="left"/>
              <w:rPr>
                <w:rFonts w:hint="default"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2022年安保安检工作经费</w:t>
            </w:r>
          </w:p>
        </w:tc>
        <w:tc>
          <w:tcPr>
            <w:tcW w:w="695" w:type="pct"/>
            <w:shd w:val="clear" w:color="000000" w:fill="auto"/>
            <w:noWrap w:val="0"/>
            <w:vAlign w:val="center"/>
          </w:tcPr>
          <w:p>
            <w:pPr>
              <w:widowControl/>
              <w:spacing w:line="320" w:lineRule="exact"/>
              <w:jc w:val="center"/>
              <w:rPr>
                <w:rFonts w:hint="eastAsia"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86.00</w:t>
            </w:r>
          </w:p>
        </w:tc>
        <w:tc>
          <w:tcPr>
            <w:tcW w:w="1030" w:type="pct"/>
            <w:shd w:val="clear" w:color="000000" w:fill="auto"/>
            <w:noWrap w:val="0"/>
            <w:vAlign w:val="center"/>
          </w:tcPr>
          <w:p>
            <w:pPr>
              <w:widowControl/>
              <w:spacing w:line="320" w:lineRule="exact"/>
              <w:ind w:firstLine="720" w:firstLineChars="300"/>
              <w:jc w:val="both"/>
              <w:rPr>
                <w:rFonts w:hint="default"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良</w:t>
            </w:r>
          </w:p>
        </w:tc>
        <w:tc>
          <w:tcPr>
            <w:tcW w:w="1138" w:type="pct"/>
            <w:shd w:val="clear" w:color="000000" w:fill="auto"/>
            <w:noWrap w:val="0"/>
            <w:vAlign w:val="center"/>
          </w:tcPr>
          <w:p>
            <w:pPr>
              <w:widowControl/>
              <w:spacing w:line="320" w:lineRule="exact"/>
              <w:jc w:val="center"/>
              <w:rPr>
                <w:rFonts w:hint="eastAsia"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 xml:space="preserve">61.92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135" w:type="pct"/>
            <w:shd w:val="clear" w:color="000000" w:fill="auto"/>
            <w:noWrap w:val="0"/>
            <w:vAlign w:val="center"/>
          </w:tcPr>
          <w:p>
            <w:pPr>
              <w:widowControl/>
              <w:spacing w:line="320" w:lineRule="exact"/>
              <w:ind w:firstLine="480" w:firstLineChars="200"/>
              <w:jc w:val="left"/>
              <w:rPr>
                <w:rFonts w:hint="default"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2022年绩效评审咨询服务费</w:t>
            </w:r>
          </w:p>
        </w:tc>
        <w:tc>
          <w:tcPr>
            <w:tcW w:w="695" w:type="pct"/>
            <w:shd w:val="clear" w:color="000000" w:fill="auto"/>
            <w:noWrap w:val="0"/>
            <w:vAlign w:val="center"/>
          </w:tcPr>
          <w:p>
            <w:pPr>
              <w:widowControl/>
              <w:spacing w:line="320" w:lineRule="exact"/>
              <w:jc w:val="center"/>
              <w:rPr>
                <w:rFonts w:hint="eastAsia"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82.25</w:t>
            </w:r>
          </w:p>
        </w:tc>
        <w:tc>
          <w:tcPr>
            <w:tcW w:w="1030" w:type="pct"/>
            <w:shd w:val="clear" w:color="000000" w:fill="auto"/>
            <w:noWrap w:val="0"/>
            <w:vAlign w:val="center"/>
          </w:tcPr>
          <w:p>
            <w:pPr>
              <w:widowControl/>
              <w:spacing w:line="320" w:lineRule="exact"/>
              <w:ind w:firstLine="720" w:firstLineChars="300"/>
              <w:jc w:val="both"/>
              <w:rPr>
                <w:rFonts w:hint="default"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良</w:t>
            </w:r>
          </w:p>
        </w:tc>
        <w:tc>
          <w:tcPr>
            <w:tcW w:w="1138" w:type="pct"/>
            <w:shd w:val="clear" w:color="000000" w:fill="auto"/>
            <w:noWrap w:val="0"/>
            <w:vAlign w:val="center"/>
          </w:tcPr>
          <w:p>
            <w:pPr>
              <w:widowControl/>
              <w:spacing w:line="320" w:lineRule="exact"/>
              <w:jc w:val="center"/>
              <w:rPr>
                <w:rFonts w:hint="eastAsia"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 xml:space="preserve">20.00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135" w:type="pct"/>
            <w:shd w:val="clear" w:color="000000" w:fill="auto"/>
            <w:noWrap w:val="0"/>
            <w:vAlign w:val="center"/>
          </w:tcPr>
          <w:p>
            <w:pPr>
              <w:widowControl/>
              <w:spacing w:line="320" w:lineRule="exact"/>
              <w:ind w:firstLine="480" w:firstLineChars="200"/>
              <w:jc w:val="left"/>
              <w:rPr>
                <w:rFonts w:hint="default"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2022年检察工作经费</w:t>
            </w:r>
          </w:p>
        </w:tc>
        <w:tc>
          <w:tcPr>
            <w:tcW w:w="695" w:type="pct"/>
            <w:shd w:val="clear" w:color="000000" w:fill="auto"/>
            <w:noWrap w:val="0"/>
            <w:vAlign w:val="center"/>
          </w:tcPr>
          <w:p>
            <w:pPr>
              <w:widowControl/>
              <w:spacing w:line="320" w:lineRule="exact"/>
              <w:jc w:val="center"/>
              <w:rPr>
                <w:rFonts w:hint="eastAsia"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90.00</w:t>
            </w:r>
          </w:p>
        </w:tc>
        <w:tc>
          <w:tcPr>
            <w:tcW w:w="1030" w:type="pct"/>
            <w:shd w:val="clear" w:color="000000" w:fill="auto"/>
            <w:noWrap w:val="0"/>
            <w:vAlign w:val="center"/>
          </w:tcPr>
          <w:p>
            <w:pPr>
              <w:widowControl/>
              <w:spacing w:line="320" w:lineRule="exact"/>
              <w:ind w:firstLine="720" w:firstLineChars="300"/>
              <w:jc w:val="both"/>
              <w:rPr>
                <w:rFonts w:hint="eastAsia"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优</w:t>
            </w:r>
          </w:p>
        </w:tc>
        <w:tc>
          <w:tcPr>
            <w:tcW w:w="1138" w:type="pct"/>
            <w:shd w:val="clear" w:color="000000" w:fill="auto"/>
            <w:noWrap w:val="0"/>
            <w:vAlign w:val="center"/>
          </w:tcPr>
          <w:p>
            <w:pPr>
              <w:widowControl/>
              <w:spacing w:line="320" w:lineRule="exact"/>
              <w:jc w:val="center"/>
              <w:rPr>
                <w:rFonts w:hint="eastAsia"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 xml:space="preserve">80.08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135" w:type="pct"/>
            <w:shd w:val="clear" w:color="000000" w:fill="auto"/>
            <w:noWrap w:val="0"/>
            <w:vAlign w:val="center"/>
          </w:tcPr>
          <w:p>
            <w:pPr>
              <w:widowControl/>
              <w:spacing w:line="320" w:lineRule="exact"/>
              <w:ind w:firstLine="480" w:firstLineChars="200"/>
              <w:jc w:val="left"/>
              <w:rPr>
                <w:rFonts w:hint="eastAsia"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2022年信息化运维项目</w:t>
            </w:r>
          </w:p>
        </w:tc>
        <w:tc>
          <w:tcPr>
            <w:tcW w:w="695" w:type="pct"/>
            <w:shd w:val="clear" w:color="000000" w:fill="auto"/>
            <w:noWrap w:val="0"/>
            <w:vAlign w:val="center"/>
          </w:tcPr>
          <w:p>
            <w:pPr>
              <w:widowControl/>
              <w:spacing w:line="320" w:lineRule="exact"/>
              <w:jc w:val="center"/>
              <w:rPr>
                <w:rFonts w:hint="eastAsia"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90.00</w:t>
            </w:r>
          </w:p>
        </w:tc>
        <w:tc>
          <w:tcPr>
            <w:tcW w:w="1030" w:type="pct"/>
            <w:shd w:val="clear" w:color="000000" w:fill="auto"/>
            <w:noWrap w:val="0"/>
            <w:vAlign w:val="center"/>
          </w:tcPr>
          <w:p>
            <w:pPr>
              <w:widowControl/>
              <w:spacing w:line="320" w:lineRule="exact"/>
              <w:ind w:firstLine="720" w:firstLineChars="300"/>
              <w:jc w:val="both"/>
              <w:rPr>
                <w:rFonts w:hint="eastAsia"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优</w:t>
            </w:r>
          </w:p>
        </w:tc>
        <w:tc>
          <w:tcPr>
            <w:tcW w:w="1138" w:type="pct"/>
            <w:shd w:val="clear" w:color="000000" w:fill="auto"/>
            <w:noWrap w:val="0"/>
            <w:vAlign w:val="center"/>
          </w:tcPr>
          <w:p>
            <w:pPr>
              <w:widowControl/>
              <w:spacing w:line="320" w:lineRule="exact"/>
              <w:jc w:val="center"/>
              <w:rPr>
                <w:rFonts w:hint="eastAsia"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 xml:space="preserve">20.00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135" w:type="pct"/>
            <w:shd w:val="clear" w:color="000000" w:fill="auto"/>
            <w:noWrap w:val="0"/>
            <w:vAlign w:val="center"/>
          </w:tcPr>
          <w:p>
            <w:pPr>
              <w:widowControl/>
              <w:spacing w:line="320" w:lineRule="exact"/>
              <w:ind w:firstLine="480" w:firstLineChars="200"/>
              <w:jc w:val="left"/>
              <w:rPr>
                <w:rFonts w:hint="eastAsia"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2022年办案业务费</w:t>
            </w:r>
          </w:p>
        </w:tc>
        <w:tc>
          <w:tcPr>
            <w:tcW w:w="695" w:type="pct"/>
            <w:shd w:val="clear" w:color="000000" w:fill="auto"/>
            <w:noWrap w:val="0"/>
            <w:vAlign w:val="center"/>
          </w:tcPr>
          <w:p>
            <w:pPr>
              <w:widowControl/>
              <w:spacing w:line="320" w:lineRule="exact"/>
              <w:jc w:val="center"/>
              <w:rPr>
                <w:rFonts w:hint="eastAsia"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88.49</w:t>
            </w:r>
          </w:p>
        </w:tc>
        <w:tc>
          <w:tcPr>
            <w:tcW w:w="1030" w:type="pct"/>
            <w:shd w:val="clear" w:color="000000" w:fill="auto"/>
            <w:noWrap w:val="0"/>
            <w:vAlign w:val="center"/>
          </w:tcPr>
          <w:p>
            <w:pPr>
              <w:widowControl/>
              <w:spacing w:line="320" w:lineRule="exact"/>
              <w:ind w:firstLine="720" w:firstLineChars="300"/>
              <w:jc w:val="both"/>
              <w:rPr>
                <w:rFonts w:hint="eastAsia"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良</w:t>
            </w:r>
          </w:p>
        </w:tc>
        <w:tc>
          <w:tcPr>
            <w:tcW w:w="1138" w:type="pct"/>
            <w:shd w:val="clear" w:color="000000" w:fill="auto"/>
            <w:noWrap w:val="0"/>
            <w:vAlign w:val="center"/>
          </w:tcPr>
          <w:p>
            <w:pPr>
              <w:widowControl/>
              <w:spacing w:line="320" w:lineRule="exact"/>
              <w:jc w:val="center"/>
              <w:rPr>
                <w:rFonts w:hint="eastAsia"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559.80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135" w:type="pct"/>
            <w:shd w:val="clear" w:color="000000" w:fill="auto"/>
            <w:noWrap w:val="0"/>
            <w:vAlign w:val="center"/>
          </w:tcPr>
          <w:p>
            <w:pPr>
              <w:widowControl/>
              <w:spacing w:line="320" w:lineRule="exact"/>
              <w:ind w:firstLine="480" w:firstLineChars="200"/>
              <w:jc w:val="left"/>
              <w:rPr>
                <w:rFonts w:hint="eastAsia"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2022年互联网接入费</w:t>
            </w:r>
          </w:p>
        </w:tc>
        <w:tc>
          <w:tcPr>
            <w:tcW w:w="695" w:type="pct"/>
            <w:shd w:val="clear" w:color="000000" w:fill="auto"/>
            <w:noWrap w:val="0"/>
            <w:vAlign w:val="center"/>
          </w:tcPr>
          <w:p>
            <w:pPr>
              <w:widowControl/>
              <w:spacing w:line="320" w:lineRule="exact"/>
              <w:jc w:val="center"/>
              <w:rPr>
                <w:rFonts w:hint="default"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8</w:t>
            </w:r>
            <w:r>
              <w:rPr>
                <w:rFonts w:hint="default" w:ascii="仿宋_GB2312" w:hAnsi="宋体" w:eastAsia="仿宋_GB2312" w:cs="宋体"/>
                <w:color w:val="000000"/>
                <w:kern w:val="0"/>
                <w:sz w:val="24"/>
                <w:szCs w:val="24"/>
                <w:lang w:val="en-US" w:eastAsia="zh-CN"/>
              </w:rPr>
              <w:t>6.84</w:t>
            </w:r>
          </w:p>
        </w:tc>
        <w:tc>
          <w:tcPr>
            <w:tcW w:w="1030" w:type="pct"/>
            <w:shd w:val="clear" w:color="000000" w:fill="auto"/>
            <w:noWrap w:val="0"/>
            <w:vAlign w:val="center"/>
          </w:tcPr>
          <w:p>
            <w:pPr>
              <w:widowControl/>
              <w:spacing w:line="320" w:lineRule="exact"/>
              <w:ind w:firstLine="720" w:firstLineChars="300"/>
              <w:jc w:val="both"/>
              <w:rPr>
                <w:rFonts w:hint="eastAsia"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lang w:val="en-US" w:eastAsia="zh-CN"/>
              </w:rPr>
              <w:t>良</w:t>
            </w:r>
          </w:p>
        </w:tc>
        <w:tc>
          <w:tcPr>
            <w:tcW w:w="1138" w:type="pct"/>
            <w:shd w:val="clear" w:color="000000" w:fill="auto"/>
            <w:noWrap w:val="0"/>
            <w:vAlign w:val="center"/>
          </w:tcPr>
          <w:p>
            <w:pPr>
              <w:widowControl/>
              <w:spacing w:line="320" w:lineRule="exact"/>
              <w:jc w:val="center"/>
              <w:rPr>
                <w:rFonts w:hint="eastAsia"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 xml:space="preserve">12.00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135" w:type="pct"/>
            <w:shd w:val="clear" w:color="000000" w:fill="auto"/>
            <w:noWrap w:val="0"/>
            <w:vAlign w:val="center"/>
          </w:tcPr>
          <w:p>
            <w:pPr>
              <w:widowControl/>
              <w:spacing w:line="320" w:lineRule="exact"/>
              <w:ind w:firstLine="480" w:firstLineChars="200"/>
              <w:jc w:val="left"/>
              <w:rPr>
                <w:rFonts w:hint="eastAsia"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2022年业务装备费</w:t>
            </w:r>
          </w:p>
        </w:tc>
        <w:tc>
          <w:tcPr>
            <w:tcW w:w="695" w:type="pct"/>
            <w:shd w:val="clear" w:color="000000" w:fill="auto"/>
            <w:noWrap w:val="0"/>
            <w:vAlign w:val="center"/>
          </w:tcPr>
          <w:p>
            <w:pPr>
              <w:widowControl/>
              <w:spacing w:line="320" w:lineRule="exact"/>
              <w:jc w:val="center"/>
              <w:rPr>
                <w:rFonts w:hint="eastAsia"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90.00</w:t>
            </w:r>
          </w:p>
        </w:tc>
        <w:tc>
          <w:tcPr>
            <w:tcW w:w="1030" w:type="pct"/>
            <w:shd w:val="clear" w:color="000000" w:fill="auto"/>
            <w:noWrap w:val="0"/>
            <w:vAlign w:val="center"/>
          </w:tcPr>
          <w:p>
            <w:pPr>
              <w:widowControl/>
              <w:spacing w:line="320" w:lineRule="exact"/>
              <w:ind w:firstLine="720" w:firstLineChars="300"/>
              <w:jc w:val="both"/>
              <w:rPr>
                <w:rFonts w:hint="eastAsia"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lang w:val="en-US" w:eastAsia="zh-CN"/>
              </w:rPr>
              <w:t>优</w:t>
            </w:r>
          </w:p>
        </w:tc>
        <w:tc>
          <w:tcPr>
            <w:tcW w:w="1138" w:type="pct"/>
            <w:shd w:val="clear" w:color="000000" w:fill="auto"/>
            <w:noWrap w:val="0"/>
            <w:vAlign w:val="center"/>
          </w:tcPr>
          <w:p>
            <w:pPr>
              <w:widowControl/>
              <w:spacing w:line="320" w:lineRule="exact"/>
              <w:jc w:val="center"/>
              <w:rPr>
                <w:rFonts w:hint="eastAsia"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 xml:space="preserve">31.20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135" w:type="pct"/>
            <w:shd w:val="clear" w:color="000000" w:fill="auto"/>
            <w:noWrap w:val="0"/>
            <w:vAlign w:val="center"/>
          </w:tcPr>
          <w:p>
            <w:pPr>
              <w:widowControl/>
              <w:spacing w:line="320" w:lineRule="exact"/>
              <w:ind w:firstLine="480" w:firstLineChars="200"/>
              <w:jc w:val="left"/>
              <w:rPr>
                <w:rFonts w:hint="default"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2022年区财政拨款项目</w:t>
            </w:r>
          </w:p>
        </w:tc>
        <w:tc>
          <w:tcPr>
            <w:tcW w:w="695" w:type="pct"/>
            <w:shd w:val="clear" w:color="000000" w:fill="auto"/>
            <w:noWrap w:val="0"/>
            <w:vAlign w:val="center"/>
          </w:tcPr>
          <w:p>
            <w:pPr>
              <w:widowControl/>
              <w:spacing w:line="320" w:lineRule="exact"/>
              <w:jc w:val="center"/>
              <w:rPr>
                <w:rFonts w:hint="default"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80.10</w:t>
            </w:r>
          </w:p>
        </w:tc>
        <w:tc>
          <w:tcPr>
            <w:tcW w:w="1030" w:type="pct"/>
            <w:shd w:val="clear" w:color="000000" w:fill="auto"/>
            <w:noWrap w:val="0"/>
            <w:vAlign w:val="center"/>
          </w:tcPr>
          <w:p>
            <w:pPr>
              <w:widowControl/>
              <w:spacing w:line="320" w:lineRule="exact"/>
              <w:ind w:firstLine="720" w:firstLineChars="300"/>
              <w:jc w:val="both"/>
              <w:rPr>
                <w:rFonts w:hint="default"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良</w:t>
            </w:r>
          </w:p>
        </w:tc>
        <w:tc>
          <w:tcPr>
            <w:tcW w:w="1138" w:type="pct"/>
            <w:shd w:val="clear" w:color="000000" w:fill="auto"/>
            <w:noWrap w:val="0"/>
            <w:vAlign w:val="center"/>
          </w:tcPr>
          <w:p>
            <w:pPr>
              <w:widowControl/>
              <w:spacing w:line="320" w:lineRule="exact"/>
              <w:jc w:val="center"/>
              <w:rPr>
                <w:rFonts w:hint="default"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 xml:space="preserve">80.00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861" w:type="pct"/>
            <w:gridSpan w:val="3"/>
            <w:shd w:val="clear" w:color="000000" w:fill="auto"/>
            <w:noWrap w:val="0"/>
            <w:vAlign w:val="center"/>
          </w:tcPr>
          <w:p>
            <w:pPr>
              <w:widowControl/>
              <w:spacing w:line="320" w:lineRule="exact"/>
              <w:ind w:firstLine="482" w:firstLineChars="200"/>
              <w:jc w:val="center"/>
              <w:rPr>
                <w:rFonts w:hint="eastAsia" w:ascii="仿宋_GB2312" w:hAnsi="宋体" w:eastAsia="仿宋_GB2312" w:cs="宋体"/>
                <w:color w:val="000000"/>
                <w:kern w:val="0"/>
                <w:sz w:val="24"/>
                <w:szCs w:val="24"/>
                <w:lang w:val="en-US" w:eastAsia="zh-CN"/>
              </w:rPr>
            </w:pPr>
            <w:r>
              <w:rPr>
                <w:rFonts w:hint="eastAsia" w:ascii="仿宋_GB2312" w:hAnsi="仿宋_GB2312" w:cs="仿宋_GB2312"/>
                <w:b/>
                <w:bCs/>
                <w:kern w:val="0"/>
                <w:sz w:val="24"/>
                <w:szCs w:val="24"/>
                <w:highlight w:val="none"/>
                <w:lang w:val="en-US" w:eastAsia="zh-CN"/>
              </w:rPr>
              <w:t>合计</w:t>
            </w:r>
          </w:p>
        </w:tc>
        <w:tc>
          <w:tcPr>
            <w:tcW w:w="1138" w:type="pct"/>
            <w:shd w:val="clear" w:color="000000" w:fill="auto"/>
            <w:noWrap w:val="0"/>
            <w:vAlign w:val="center"/>
          </w:tcPr>
          <w:p>
            <w:pPr>
              <w:widowControl/>
              <w:spacing w:line="320" w:lineRule="exact"/>
              <w:jc w:val="center"/>
              <w:rPr>
                <w:rFonts w:hint="default"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865.00</w:t>
            </w:r>
          </w:p>
        </w:tc>
      </w:tr>
    </w:tbl>
    <w:p>
      <w:pPr>
        <w:numPr>
          <w:ilvl w:val="0"/>
          <w:numId w:val="2"/>
        </w:numPr>
        <w:spacing w:line="600" w:lineRule="exact"/>
        <w:ind w:left="105" w:leftChars="50" w:firstLine="480" w:firstLineChars="150"/>
        <w:outlineLvl w:val="1"/>
        <w:rPr>
          <w:rFonts w:hint="eastAsia" w:ascii="楷体_GB2312" w:eastAsia="楷体_GB2312"/>
          <w:sz w:val="32"/>
          <w:szCs w:val="32"/>
        </w:rPr>
      </w:pPr>
      <w:bookmarkStart w:id="67" w:name="_Toc31226"/>
      <w:bookmarkStart w:id="68" w:name="_Toc32289"/>
      <w:bookmarkStart w:id="69" w:name="_Toc10702"/>
      <w:bookmarkStart w:id="70" w:name="_Toc1134"/>
      <w:r>
        <w:rPr>
          <w:rFonts w:hint="eastAsia" w:ascii="楷体_GB2312" w:eastAsia="楷体_GB2312"/>
          <w:sz w:val="32"/>
          <w:szCs w:val="32"/>
        </w:rPr>
        <w:t>存在的问题及原因分析</w:t>
      </w:r>
      <w:bookmarkEnd w:id="67"/>
      <w:bookmarkEnd w:id="68"/>
      <w:bookmarkEnd w:id="69"/>
      <w:bookmarkEnd w:id="70"/>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自评认为：本单位2022年度预算项目的实施总体良好，但还存在：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1.绩效目标和绩效指标设置不够合理，较为笼统，可操作性不强。项目总体绩效目标设定的项目实施内容；部分项目的产出指标与项目实施内容不够匹配，不能全面反映项目年度总体工作部署、工作计划和工作任务；另部分项目效益指标缺少定性和定量并结合项目实际进行工作内容关联等，可衡量性不强，不利于后期监管、考核评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2.个别项目预算编制不够精确，预决算存在一定误差，未及时调整</w:t>
      </w:r>
      <w:r>
        <w:rPr>
          <w:rFonts w:hint="eastAsia" w:ascii="仿宋_GB2312" w:hAnsi="宋体" w:eastAsia="仿宋_GB2312" w:cs="宋体"/>
          <w:color w:val="000000"/>
          <w:kern w:val="0"/>
          <w:sz w:val="32"/>
          <w:szCs w:val="32"/>
        </w:rPr>
        <w:t>绩效目标偏离</w:t>
      </w:r>
      <w:r>
        <w:rPr>
          <w:rFonts w:hint="eastAsia" w:ascii="仿宋_GB2312" w:hAnsi="宋体" w:eastAsia="仿宋_GB2312" w:cs="宋体"/>
          <w:color w:val="000000"/>
          <w:kern w:val="0"/>
          <w:sz w:val="32"/>
          <w:szCs w:val="32"/>
          <w:lang w:eastAsia="zh-CN"/>
        </w:rPr>
        <w:t>，</w:t>
      </w:r>
      <w:r>
        <w:rPr>
          <w:rFonts w:hint="eastAsia" w:ascii="仿宋_GB2312" w:hAnsi="宋体" w:eastAsia="仿宋_GB2312" w:cs="宋体"/>
          <w:color w:val="000000"/>
          <w:kern w:val="0"/>
          <w:sz w:val="32"/>
          <w:szCs w:val="32"/>
          <w:lang w:val="en-US" w:eastAsia="zh-CN"/>
        </w:rPr>
        <w:t>如区财政拨款项目，年初预算为80.00万元，本年实际支出为0.76万元，预算与实际支出内容不匹配，未及时调整绩效目标和绩效指标。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3.部分项目效益资料归集不足，不能充分体现单位履行部门职能和工作职责效益和效果。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4.部分项目服务对象或对社会公众满意度调查，绩效资料支撑性不足，服务对象满意度程度不能充分体现。</w:t>
      </w:r>
    </w:p>
    <w:p>
      <w:pPr>
        <w:keepNext w:val="0"/>
        <w:keepLines w:val="0"/>
        <w:pageBreakBefore w:val="0"/>
        <w:widowControl w:val="0"/>
        <w:numPr>
          <w:ilvl w:val="-1"/>
          <w:numId w:val="0"/>
        </w:numPr>
        <w:kinsoku/>
        <w:wordWrap/>
        <w:overflowPunct/>
        <w:topLinePunct w:val="0"/>
        <w:autoSpaceDE/>
        <w:autoSpaceDN/>
        <w:bidi w:val="0"/>
        <w:adjustRightInd/>
        <w:snapToGrid/>
        <w:spacing w:line="560" w:lineRule="exact"/>
        <w:ind w:firstLine="640" w:firstLineChars="200"/>
        <w:textAlignment w:val="auto"/>
        <w:outlineLvl w:val="0"/>
        <w:rPr>
          <w:rFonts w:hint="eastAsia" w:ascii="黑体" w:hAnsi="黑体" w:eastAsia="黑体" w:cs="宋体"/>
          <w:color w:val="000000"/>
          <w:kern w:val="0"/>
          <w:sz w:val="32"/>
          <w:szCs w:val="32"/>
          <w:highlight w:val="none"/>
        </w:rPr>
      </w:pPr>
      <w:bookmarkStart w:id="71" w:name="_Toc4669"/>
      <w:bookmarkStart w:id="72" w:name="_Toc11226"/>
      <w:bookmarkStart w:id="73" w:name="_Toc4115"/>
      <w:bookmarkStart w:id="74" w:name="_Toc28243"/>
      <w:r>
        <w:rPr>
          <w:rFonts w:hint="eastAsia" w:ascii="黑体" w:hAnsi="黑体" w:eastAsia="黑体" w:cs="宋体"/>
          <w:color w:val="000000"/>
          <w:kern w:val="0"/>
          <w:sz w:val="32"/>
          <w:szCs w:val="32"/>
          <w:highlight w:val="none"/>
          <w:lang w:val="en-US" w:eastAsia="zh-CN"/>
        </w:rPr>
        <w:t>六、</w:t>
      </w:r>
      <w:r>
        <w:rPr>
          <w:rFonts w:hint="eastAsia" w:ascii="黑体" w:hAnsi="黑体" w:eastAsia="黑体" w:cs="宋体"/>
          <w:color w:val="000000"/>
          <w:kern w:val="0"/>
          <w:sz w:val="32"/>
          <w:szCs w:val="32"/>
          <w:highlight w:val="none"/>
        </w:rPr>
        <w:t>措施建议</w:t>
      </w:r>
      <w:bookmarkEnd w:id="71"/>
      <w:bookmarkEnd w:id="72"/>
      <w:bookmarkEnd w:id="73"/>
      <w:bookmarkEnd w:id="74"/>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firstLine="640" w:firstLineChars="200"/>
        <w:jc w:val="lef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（一）建议合理设置绩效目标和绩效指标，根据工作任务、工作计划设置明确的产出指标；细化各项绩效指标的阶段任务和时间节点；明确质量指标标准、完善效益指标，开展服务对象满意度调查。</w:t>
      </w:r>
    </w:p>
    <w:p>
      <w:pPr>
        <w:keepNext w:val="0"/>
        <w:keepLines w:val="0"/>
        <w:pageBreakBefore w:val="0"/>
        <w:widowControl w:val="0"/>
        <w:kinsoku/>
        <w:wordWrap/>
        <w:overflowPunct/>
        <w:topLinePunct w:val="0"/>
        <w:autoSpaceDE/>
        <w:autoSpaceDN/>
        <w:bidi w:val="0"/>
        <w:adjustRightInd/>
        <w:snapToGrid/>
        <w:spacing w:beforeLines="0" w:after="0" w:afterLines="0" w:line="560" w:lineRule="exact"/>
        <w:ind w:firstLine="640"/>
        <w:jc w:val="lef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（二）建议充分前期调研和进行可行性分析，合理编制项目预算，明确测算依据，假期项目预算资金分配的合理性。</w:t>
      </w:r>
      <w:r>
        <w:rPr>
          <w:rFonts w:hint="eastAsia" w:ascii="仿宋_GB2312" w:hAnsi="宋体" w:eastAsia="仿宋_GB2312" w:cs="宋体"/>
          <w:color w:val="000000"/>
          <w:kern w:val="0"/>
          <w:sz w:val="32"/>
          <w:szCs w:val="32"/>
        </w:rPr>
        <w:t>加强项目绩效</w:t>
      </w:r>
      <w:r>
        <w:rPr>
          <w:rFonts w:hint="eastAsia" w:ascii="仿宋_GB2312" w:hAnsi="宋体" w:eastAsia="仿宋_GB2312" w:cs="宋体"/>
          <w:color w:val="000000"/>
          <w:kern w:val="0"/>
          <w:sz w:val="32"/>
          <w:szCs w:val="32"/>
          <w:lang w:val="en-US" w:eastAsia="zh-CN"/>
        </w:rPr>
        <w:t>过程</w:t>
      </w:r>
      <w:r>
        <w:rPr>
          <w:rFonts w:hint="eastAsia" w:ascii="仿宋_GB2312" w:hAnsi="宋体" w:eastAsia="仿宋_GB2312" w:cs="宋体"/>
          <w:color w:val="000000"/>
          <w:kern w:val="0"/>
          <w:sz w:val="32"/>
          <w:szCs w:val="32"/>
        </w:rPr>
        <w:t>跟踪监督</w:t>
      </w:r>
      <w:r>
        <w:rPr>
          <w:rFonts w:hint="eastAsia" w:ascii="仿宋_GB2312" w:hAnsi="宋体" w:eastAsia="仿宋_GB2312" w:cs="宋体"/>
          <w:color w:val="000000"/>
          <w:kern w:val="0"/>
          <w:sz w:val="32"/>
          <w:szCs w:val="32"/>
          <w:lang w:eastAsia="zh-CN"/>
        </w:rPr>
        <w:t>，</w:t>
      </w:r>
      <w:r>
        <w:rPr>
          <w:rFonts w:hint="eastAsia" w:eastAsia="仿宋_GB2312"/>
          <w:kern w:val="0"/>
          <w:sz w:val="32"/>
          <w:szCs w:val="32"/>
        </w:rPr>
        <w:t>结合</w:t>
      </w:r>
      <w:r>
        <w:rPr>
          <w:rFonts w:eastAsia="仿宋_GB2312"/>
          <w:kern w:val="0"/>
          <w:sz w:val="32"/>
          <w:szCs w:val="32"/>
        </w:rPr>
        <w:t>年度规划与中期项目执行</w:t>
      </w:r>
      <w:r>
        <w:rPr>
          <w:rFonts w:hint="eastAsia" w:eastAsia="仿宋_GB2312"/>
          <w:kern w:val="0"/>
          <w:sz w:val="32"/>
          <w:szCs w:val="32"/>
        </w:rPr>
        <w:t>严格把控项目进度，</w:t>
      </w:r>
      <w:r>
        <w:rPr>
          <w:rFonts w:hint="eastAsia" w:eastAsia="仿宋_GB2312"/>
          <w:kern w:val="0"/>
          <w:sz w:val="32"/>
          <w:szCs w:val="32"/>
          <w:lang w:val="en-US" w:eastAsia="zh-CN"/>
        </w:rPr>
        <w:t>并对项目预算资金执行情况</w:t>
      </w:r>
      <w:r>
        <w:rPr>
          <w:rFonts w:hint="eastAsia" w:eastAsia="仿宋_GB2312"/>
          <w:kern w:val="0"/>
          <w:sz w:val="32"/>
          <w:szCs w:val="32"/>
        </w:rPr>
        <w:t>及时</w:t>
      </w:r>
      <w:r>
        <w:rPr>
          <w:rFonts w:hint="eastAsia" w:eastAsia="仿宋_GB2312"/>
          <w:kern w:val="0"/>
          <w:sz w:val="32"/>
          <w:szCs w:val="32"/>
          <w:lang w:val="en-US" w:eastAsia="zh-CN"/>
        </w:rPr>
        <w:t>进行分析</w:t>
      </w:r>
      <w:r>
        <w:rPr>
          <w:rFonts w:hint="eastAsia" w:eastAsia="仿宋_GB2312"/>
          <w:kern w:val="0"/>
          <w:sz w:val="32"/>
          <w:szCs w:val="32"/>
          <w:lang w:eastAsia="zh-CN"/>
        </w:rPr>
        <w:t>。。</w:t>
      </w:r>
      <w:r>
        <w:rPr>
          <w:rFonts w:hint="eastAsia" w:ascii="仿宋_GB2312" w:hAnsi="仿宋_GB2312" w:eastAsia="仿宋_GB2312" w:cs="仿宋_GB2312"/>
          <w:sz w:val="32"/>
          <w:szCs w:val="32"/>
          <w:highlight w:val="none"/>
          <w:lang w:val="en-US" w:eastAsia="zh-CN"/>
        </w:rPr>
        <w:t xml:space="preserve"> </w:t>
      </w:r>
    </w:p>
    <w:p>
      <w:pPr>
        <w:pStyle w:val="12"/>
        <w:keepNext w:val="0"/>
        <w:keepLines w:val="0"/>
        <w:pageBreakBefore w:val="0"/>
        <w:widowControl w:val="0"/>
        <w:kinsoku/>
        <w:wordWrap/>
        <w:overflowPunct/>
        <w:topLinePunct w:val="0"/>
        <w:autoSpaceDE/>
        <w:autoSpaceDN/>
        <w:bidi w:val="0"/>
        <w:adjustRightInd/>
        <w:snapToGrid/>
        <w:spacing w:beforeLines="0" w:after="0" w:afterLines="0" w:line="560" w:lineRule="exact"/>
        <w:ind w:firstLine="640" w:firstLineChars="200"/>
        <w:jc w:val="left"/>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cs="仿宋_GB2312"/>
          <w:highlight w:val="none"/>
          <w:lang w:eastAsia="zh-CN"/>
        </w:rPr>
        <w:t>（</w:t>
      </w:r>
      <w:r>
        <w:rPr>
          <w:rFonts w:hint="eastAsia" w:ascii="仿宋_GB2312" w:hAnsi="仿宋_GB2312" w:cs="仿宋_GB2312"/>
          <w:highlight w:val="none"/>
          <w:lang w:val="en-US" w:eastAsia="zh-CN"/>
        </w:rPr>
        <w:t>三）建议</w:t>
      </w:r>
      <w:r>
        <w:rPr>
          <w:rFonts w:hint="eastAsia" w:ascii="仿宋_GB2312" w:hAnsi="仿宋_GB2312" w:eastAsia="仿宋_GB2312" w:cs="仿宋_GB2312"/>
          <w:sz w:val="32"/>
          <w:szCs w:val="32"/>
          <w:highlight w:val="none"/>
          <w:lang w:val="en-US" w:eastAsia="zh-CN"/>
        </w:rPr>
        <w:t>注意绩效资料的收集和整理</w:t>
      </w:r>
      <w:r>
        <w:rPr>
          <w:rFonts w:hint="eastAsia" w:ascii="仿宋_GB2312" w:hAnsi="仿宋_GB2312" w:cs="仿宋_GB2312"/>
          <w:sz w:val="32"/>
          <w:szCs w:val="32"/>
          <w:highlight w:val="none"/>
          <w:lang w:val="en-US" w:eastAsia="zh-CN"/>
        </w:rPr>
        <w:t>，</w:t>
      </w:r>
      <w:r>
        <w:rPr>
          <w:rFonts w:hint="eastAsia" w:ascii="仿宋_GB2312" w:hAnsi="仿宋_GB2312" w:eastAsia="仿宋_GB2312" w:cs="仿宋_GB2312"/>
          <w:sz w:val="32"/>
          <w:szCs w:val="32"/>
          <w:highlight w:val="none"/>
          <w:lang w:val="en-US" w:eastAsia="zh-CN"/>
        </w:rPr>
        <w:t>项目实施过程中应注</w:t>
      </w:r>
      <w:r>
        <w:rPr>
          <w:rFonts w:hint="eastAsia" w:ascii="仿宋_GB2312" w:hAnsi="仿宋_GB2312" w:cs="仿宋_GB2312"/>
          <w:sz w:val="32"/>
          <w:szCs w:val="32"/>
          <w:highlight w:val="none"/>
          <w:lang w:val="en-US" w:eastAsia="zh-CN"/>
        </w:rPr>
        <w:t>重绩效</w:t>
      </w:r>
      <w:r>
        <w:rPr>
          <w:rFonts w:hint="eastAsia" w:ascii="仿宋_GB2312" w:hAnsi="仿宋_GB2312" w:eastAsia="仿宋_GB2312" w:cs="仿宋_GB2312"/>
          <w:sz w:val="32"/>
          <w:szCs w:val="32"/>
          <w:highlight w:val="none"/>
          <w:lang w:val="en-US" w:eastAsia="zh-CN"/>
        </w:rPr>
        <w:t>资料的收集和档案整理，以便于财政资金</w:t>
      </w:r>
      <w:r>
        <w:rPr>
          <w:rFonts w:hint="eastAsia" w:ascii="仿宋_GB2312" w:hAnsi="仿宋_GB2312" w:cs="仿宋_GB2312"/>
          <w:sz w:val="32"/>
          <w:szCs w:val="32"/>
          <w:highlight w:val="none"/>
          <w:lang w:val="en-US" w:eastAsia="zh-CN"/>
        </w:rPr>
        <w:t>使用</w:t>
      </w:r>
      <w:r>
        <w:rPr>
          <w:rFonts w:hint="eastAsia" w:ascii="仿宋_GB2312" w:hAnsi="仿宋_GB2312" w:eastAsia="仿宋_GB2312" w:cs="仿宋_GB2312"/>
          <w:sz w:val="32"/>
          <w:szCs w:val="32"/>
          <w:highlight w:val="none"/>
          <w:lang w:val="en-US" w:eastAsia="zh-CN"/>
        </w:rPr>
        <w:t>的经济性、效率性和效果性进行绩效分析。。</w:t>
      </w:r>
      <w:r>
        <w:rPr>
          <w:rFonts w:hint="eastAsia" w:ascii="仿宋_GB2312" w:hAnsi="仿宋_GB2312" w:eastAsia="仿宋_GB2312" w:cs="仿宋_GB2312"/>
          <w:color w:val="000000"/>
          <w:kern w:val="0"/>
          <w:sz w:val="32"/>
          <w:szCs w:val="32"/>
          <w:highlight w:val="none"/>
          <w:lang w:val="en-US" w:eastAsia="zh-CN"/>
        </w:rPr>
        <w:t xml:space="preserve"> </w:t>
      </w:r>
    </w:p>
    <w:p>
      <w:pPr>
        <w:pStyle w:val="12"/>
        <w:keepNext w:val="0"/>
        <w:keepLines w:val="0"/>
        <w:pageBreakBefore w:val="0"/>
        <w:widowControl w:val="0"/>
        <w:kinsoku/>
        <w:wordWrap/>
        <w:overflowPunct/>
        <w:topLinePunct w:val="0"/>
        <w:autoSpaceDE/>
        <w:autoSpaceDN/>
        <w:bidi w:val="0"/>
        <w:adjustRightInd/>
        <w:snapToGrid/>
        <w:spacing w:beforeLines="0" w:after="0" w:afterLines="0" w:line="560" w:lineRule="exact"/>
        <w:ind w:firstLine="640" w:firstLineChars="200"/>
        <w:jc w:val="left"/>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cs="仿宋_GB2312"/>
          <w:color w:val="000000"/>
          <w:kern w:val="0"/>
          <w:sz w:val="32"/>
          <w:szCs w:val="32"/>
          <w:highlight w:val="none"/>
          <w:lang w:val="en-US" w:eastAsia="zh-CN"/>
        </w:rPr>
        <w:t>（四）注重开展服务对象满意度调查工作，及时了解项目实施存在的问题和服务对象需求，为项目决策管理、过程管理和绩效管理提供参考依据。</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宋体"/>
          <w:color w:val="000000"/>
          <w:kern w:val="0"/>
          <w:sz w:val="32"/>
          <w:szCs w:val="32"/>
          <w:lang w:val="en-US" w:eastAsia="zh-CN"/>
        </w:rPr>
      </w:pPr>
      <w:r>
        <w:rPr>
          <w:rFonts w:hint="eastAsia" w:ascii="黑体" w:hAnsi="黑体" w:eastAsia="黑体" w:cs="宋体"/>
          <w:color w:val="000000"/>
          <w:kern w:val="0"/>
          <w:sz w:val="32"/>
          <w:szCs w:val="32"/>
          <w:highlight w:val="none"/>
          <w:lang w:val="en-US" w:eastAsia="zh-CN"/>
        </w:rPr>
        <w:t>七、附件</w:t>
      </w:r>
      <w:r>
        <w:rPr>
          <w:rFonts w:hint="eastAsia" w:ascii="仿宋_GB2312" w:hAnsi="宋体" w:eastAsia="仿宋_GB2312" w:cs="宋体"/>
          <w:color w:val="000000"/>
          <w:kern w:val="0"/>
          <w:sz w:val="32"/>
          <w:szCs w:val="32"/>
          <w:highlight w:val="none"/>
          <w:lang w:val="en-US" w:eastAsia="zh-CN"/>
        </w:rPr>
        <w:t xml:space="preserve">     </w:t>
      </w:r>
      <w:r>
        <w:rPr>
          <w:rFonts w:hint="eastAsia" w:ascii="仿宋_GB2312" w:hAnsi="宋体" w:eastAsia="仿宋_GB2312" w:cs="宋体"/>
          <w:color w:val="000000"/>
          <w:kern w:val="0"/>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sz w:val="32"/>
          <w:szCs w:val="32"/>
          <w:highlight w:val="none"/>
          <w:lang w:eastAsia="zh-CN"/>
        </w:rPr>
        <w:sectPr>
          <w:footerReference r:id="rId3" w:type="default"/>
          <w:pgSz w:w="11906" w:h="16838"/>
          <w:pgMar w:top="1440" w:right="1800" w:bottom="1440" w:left="1800" w:header="851" w:footer="964" w:gutter="0"/>
          <w:pgNumType w:fmt="decimal" w:start="1"/>
          <w:cols w:space="425" w:num="1"/>
          <w:docGrid w:type="lines" w:linePitch="435" w:charSpace="0"/>
        </w:sectPr>
      </w:pPr>
      <w:r>
        <w:rPr>
          <w:rFonts w:hint="eastAsia" w:ascii="仿宋_GB2312" w:hAnsi="仿宋_GB2312" w:eastAsia="仿宋_GB2312" w:cs="仿宋_GB2312"/>
          <w:sz w:val="32"/>
          <w:szCs w:val="32"/>
          <w:highlight w:val="none"/>
        </w:rPr>
        <w:t>202</w:t>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年部门整体绩效评价指标体系评分</w:t>
      </w:r>
      <w:r>
        <w:rPr>
          <w:rFonts w:hint="eastAsia" w:ascii="仿宋_GB2312" w:hAnsi="仿宋_GB2312" w:eastAsia="仿宋_GB2312" w:cs="仿宋_GB2312"/>
          <w:sz w:val="32"/>
          <w:szCs w:val="32"/>
          <w:highlight w:val="none"/>
          <w:lang w:eastAsia="zh-CN"/>
        </w:rPr>
        <w:t>表</w:t>
      </w:r>
    </w:p>
    <w:p>
      <w:pPr>
        <w:spacing w:line="560" w:lineRule="exact"/>
        <w:jc w:val="left"/>
        <w:rPr>
          <w:rFonts w:hint="default" w:ascii="方正黑体_GBK" w:hAnsi="方正黑体_GBK" w:eastAsia="方正黑体_GBK" w:cs="方正黑体_GBK"/>
          <w:sz w:val="32"/>
          <w:highlight w:val="none"/>
          <w:lang w:val="en-US" w:eastAsia="zh-CN"/>
        </w:rPr>
      </w:pPr>
      <w:r>
        <w:rPr>
          <w:rFonts w:hint="eastAsia" w:ascii="方正黑体_GBK" w:hAnsi="方正黑体_GBK" w:eastAsia="方正黑体_GBK" w:cs="方正黑体_GBK"/>
          <w:sz w:val="32"/>
          <w:highlight w:val="none"/>
          <w:lang w:eastAsia="zh-CN"/>
        </w:rPr>
        <w:t>附件</w:t>
      </w:r>
      <w:r>
        <w:rPr>
          <w:rFonts w:hint="eastAsia" w:ascii="方正黑体_GBK" w:hAnsi="方正黑体_GBK" w:eastAsia="方正黑体_GBK" w:cs="方正黑体_GBK"/>
          <w:sz w:val="32"/>
          <w:highlight w:val="none"/>
          <w:lang w:val="en-US" w:eastAsia="zh-CN"/>
        </w:rPr>
        <w:t>4-1</w:t>
      </w:r>
    </w:p>
    <w:tbl>
      <w:tblPr>
        <w:tblStyle w:val="13"/>
        <w:tblW w:w="5000" w:type="pct"/>
        <w:tblInd w:w="0" w:type="dxa"/>
        <w:tblLayout w:type="autofit"/>
        <w:tblCellMar>
          <w:top w:w="0" w:type="dxa"/>
          <w:left w:w="108" w:type="dxa"/>
          <w:bottom w:w="0" w:type="dxa"/>
          <w:right w:w="108" w:type="dxa"/>
        </w:tblCellMar>
      </w:tblPr>
      <w:tblGrid>
        <w:gridCol w:w="1113"/>
        <w:gridCol w:w="1116"/>
        <w:gridCol w:w="1016"/>
        <w:gridCol w:w="1016"/>
        <w:gridCol w:w="2006"/>
        <w:gridCol w:w="692"/>
        <w:gridCol w:w="859"/>
        <w:gridCol w:w="2750"/>
        <w:gridCol w:w="3606"/>
      </w:tblGrid>
      <w:tr>
        <w:tblPrEx>
          <w:tblCellMar>
            <w:top w:w="0" w:type="dxa"/>
            <w:left w:w="108" w:type="dxa"/>
            <w:bottom w:w="0" w:type="dxa"/>
            <w:right w:w="108" w:type="dxa"/>
          </w:tblCellMar>
        </w:tblPrEx>
        <w:trPr>
          <w:cantSplit/>
          <w:trHeight w:val="90" w:hRule="atLeast"/>
        </w:trPr>
        <w:tc>
          <w:tcPr>
            <w:tcW w:w="5000" w:type="pct"/>
            <w:gridSpan w:val="9"/>
            <w:tcBorders>
              <w:top w:val="nil"/>
              <w:left w:val="nil"/>
              <w:bottom w:val="single" w:color="auto" w:sz="4" w:space="0"/>
              <w:right w:val="nil"/>
            </w:tcBorders>
            <w:noWrap/>
            <w:vAlign w:val="bottom"/>
          </w:tcPr>
          <w:p>
            <w:pPr>
              <w:widowControl/>
              <w:jc w:val="center"/>
              <w:rPr>
                <w:rFonts w:hint="eastAsia" w:ascii="方正小标宋简体" w:hAnsi="黑体" w:eastAsia="方正小标宋简体" w:cs="宋体"/>
                <w:color w:val="000000"/>
                <w:kern w:val="0"/>
                <w:sz w:val="44"/>
                <w:szCs w:val="44"/>
                <w:highlight w:val="none"/>
                <w:lang w:eastAsia="zh-CN"/>
              </w:rPr>
            </w:pPr>
            <w:r>
              <w:rPr>
                <w:rFonts w:hint="eastAsia" w:ascii="仿宋" w:hAnsi="仿宋" w:eastAsia="仿宋" w:cs="仿宋"/>
                <w:b/>
                <w:bCs/>
                <w:color w:val="000000"/>
                <w:kern w:val="0"/>
                <w:sz w:val="44"/>
                <w:szCs w:val="44"/>
                <w:highlight w:val="none"/>
              </w:rPr>
              <w:t>202</w:t>
            </w:r>
            <w:r>
              <w:rPr>
                <w:rFonts w:hint="eastAsia" w:ascii="仿宋" w:hAnsi="仿宋" w:eastAsia="仿宋" w:cs="仿宋"/>
                <w:b/>
                <w:bCs/>
                <w:color w:val="000000"/>
                <w:kern w:val="0"/>
                <w:sz w:val="44"/>
                <w:szCs w:val="44"/>
                <w:highlight w:val="none"/>
                <w:lang w:val="en-US" w:eastAsia="zh-CN"/>
              </w:rPr>
              <w:t>2</w:t>
            </w:r>
            <w:r>
              <w:rPr>
                <w:rFonts w:hint="eastAsia" w:ascii="仿宋" w:hAnsi="仿宋" w:eastAsia="仿宋" w:cs="仿宋"/>
                <w:b/>
                <w:bCs/>
                <w:color w:val="000000"/>
                <w:kern w:val="0"/>
                <w:sz w:val="44"/>
                <w:szCs w:val="44"/>
                <w:highlight w:val="none"/>
              </w:rPr>
              <w:t>年部门整体绩效评价指标体系评分表</w:t>
            </w:r>
          </w:p>
        </w:tc>
      </w:tr>
      <w:tr>
        <w:tblPrEx>
          <w:tblCellMar>
            <w:top w:w="0" w:type="dxa"/>
            <w:left w:w="108" w:type="dxa"/>
            <w:bottom w:w="0" w:type="dxa"/>
            <w:right w:w="108" w:type="dxa"/>
          </w:tblCellMar>
        </w:tblPrEx>
        <w:trPr>
          <w:cantSplit/>
          <w:trHeight w:val="470" w:hRule="atLeast"/>
        </w:trPr>
        <w:tc>
          <w:tcPr>
            <w:tcW w:w="5000" w:type="pct"/>
            <w:gridSpan w:val="9"/>
            <w:tcBorders>
              <w:top w:val="single" w:color="auto" w:sz="4" w:space="0"/>
              <w:left w:val="single" w:color="auto" w:sz="4" w:space="0"/>
              <w:bottom w:val="single" w:color="000000"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一、</w:t>
            </w:r>
            <w:r>
              <w:rPr>
                <w:rFonts w:hint="eastAsia" w:ascii="宋体" w:hAnsi="宋体" w:cs="宋体"/>
                <w:color w:val="000000"/>
                <w:kern w:val="0"/>
                <w:sz w:val="20"/>
                <w:szCs w:val="20"/>
                <w:highlight w:val="none"/>
              </w:rPr>
              <w:t>当年预算执行情况（20分）</w:t>
            </w:r>
          </w:p>
        </w:tc>
      </w:tr>
      <w:tr>
        <w:tblPrEx>
          <w:tblCellMar>
            <w:top w:w="0" w:type="dxa"/>
            <w:left w:w="108" w:type="dxa"/>
            <w:bottom w:w="0" w:type="dxa"/>
            <w:right w:w="108" w:type="dxa"/>
          </w:tblCellMar>
        </w:tblPrEx>
        <w:trPr>
          <w:cantSplit/>
          <w:trHeight w:val="660" w:hRule="atLeast"/>
        </w:trPr>
        <w:tc>
          <w:tcPr>
            <w:tcW w:w="393"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一</w:t>
            </w:r>
            <w:r>
              <w:rPr>
                <w:rFonts w:ascii="宋体" w:hAnsi="宋体" w:cs="宋体"/>
                <w:color w:val="000000"/>
                <w:kern w:val="0"/>
                <w:sz w:val="20"/>
                <w:szCs w:val="20"/>
                <w:highlight w:val="none"/>
              </w:rPr>
              <w:t>级指标</w:t>
            </w:r>
            <w:r>
              <w:rPr>
                <w:rFonts w:hint="eastAsia" w:ascii="宋体" w:hAnsi="宋体" w:cs="宋体"/>
                <w:color w:val="000000"/>
                <w:kern w:val="0"/>
                <w:sz w:val="20"/>
                <w:szCs w:val="20"/>
                <w:highlight w:val="none"/>
              </w:rPr>
              <w:t>　</w:t>
            </w:r>
          </w:p>
        </w:tc>
        <w:tc>
          <w:tcPr>
            <w:tcW w:w="394"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二</w:t>
            </w:r>
            <w:r>
              <w:rPr>
                <w:rFonts w:ascii="宋体" w:hAnsi="宋体" w:cs="宋体"/>
                <w:color w:val="000000"/>
                <w:kern w:val="0"/>
                <w:sz w:val="20"/>
                <w:szCs w:val="20"/>
                <w:highlight w:val="none"/>
              </w:rPr>
              <w:t>级指标</w:t>
            </w:r>
            <w:r>
              <w:rPr>
                <w:rFonts w:hint="eastAsia" w:ascii="宋体" w:hAnsi="宋体" w:cs="宋体"/>
                <w:color w:val="000000"/>
                <w:kern w:val="0"/>
                <w:sz w:val="20"/>
                <w:szCs w:val="20"/>
                <w:highlight w:val="none"/>
              </w:rPr>
              <w:t>　</w:t>
            </w:r>
          </w:p>
        </w:tc>
        <w:tc>
          <w:tcPr>
            <w:tcW w:w="358"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预算数（万元）</w:t>
            </w:r>
          </w:p>
        </w:tc>
        <w:tc>
          <w:tcPr>
            <w:tcW w:w="358"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执行数（万元）</w:t>
            </w:r>
          </w:p>
        </w:tc>
        <w:tc>
          <w:tcPr>
            <w:tcW w:w="706"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预算执行率</w:t>
            </w:r>
          </w:p>
        </w:tc>
        <w:tc>
          <w:tcPr>
            <w:tcW w:w="244"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分值</w:t>
            </w:r>
          </w:p>
        </w:tc>
        <w:tc>
          <w:tcPr>
            <w:tcW w:w="303"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得分</w:t>
            </w:r>
          </w:p>
        </w:tc>
        <w:tc>
          <w:tcPr>
            <w:tcW w:w="970"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指标解释</w:t>
            </w:r>
          </w:p>
        </w:tc>
        <w:tc>
          <w:tcPr>
            <w:tcW w:w="1270"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评分标准</w:t>
            </w:r>
          </w:p>
        </w:tc>
      </w:tr>
      <w:tr>
        <w:tblPrEx>
          <w:tblCellMar>
            <w:top w:w="0" w:type="dxa"/>
            <w:left w:w="108" w:type="dxa"/>
            <w:bottom w:w="0" w:type="dxa"/>
            <w:right w:w="108" w:type="dxa"/>
          </w:tblCellMar>
        </w:tblPrEx>
        <w:trPr>
          <w:cantSplit/>
          <w:trHeight w:val="1118" w:hRule="atLeast"/>
        </w:trPr>
        <w:tc>
          <w:tcPr>
            <w:tcW w:w="393" w:type="pct"/>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当年预算执行情况（20）</w:t>
            </w:r>
          </w:p>
        </w:tc>
        <w:tc>
          <w:tcPr>
            <w:tcW w:w="394"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资金总体</w:t>
            </w:r>
          </w:p>
        </w:tc>
        <w:tc>
          <w:tcPr>
            <w:tcW w:w="358"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9,499.33</w:t>
            </w:r>
            <w:r>
              <w:rPr>
                <w:rFonts w:hint="eastAsia" w:ascii="宋体" w:hAnsi="宋体" w:cs="宋体"/>
                <w:color w:val="000000"/>
                <w:kern w:val="0"/>
                <w:sz w:val="20"/>
                <w:szCs w:val="20"/>
                <w:highlight w:val="none"/>
              </w:rPr>
              <w:t>　</w:t>
            </w:r>
          </w:p>
        </w:tc>
        <w:tc>
          <w:tcPr>
            <w:tcW w:w="358"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9,213.31</w:t>
            </w:r>
          </w:p>
        </w:tc>
        <w:tc>
          <w:tcPr>
            <w:tcW w:w="706"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18"/>
                <w:szCs w:val="18"/>
                <w:highlight w:val="none"/>
                <w:lang w:val="en-US" w:eastAsia="zh-CN"/>
              </w:rPr>
              <w:t>96.99%</w:t>
            </w:r>
          </w:p>
        </w:tc>
        <w:tc>
          <w:tcPr>
            <w:tcW w:w="244" w:type="pct"/>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20</w:t>
            </w:r>
          </w:p>
        </w:tc>
        <w:tc>
          <w:tcPr>
            <w:tcW w:w="303" w:type="pct"/>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19.40</w:t>
            </w:r>
            <w:r>
              <w:rPr>
                <w:rFonts w:hint="eastAsia" w:ascii="宋体" w:hAnsi="宋体" w:cs="宋体"/>
                <w:color w:val="000000"/>
                <w:kern w:val="0"/>
                <w:sz w:val="20"/>
                <w:szCs w:val="20"/>
                <w:highlight w:val="none"/>
              </w:rPr>
              <w:t>　</w:t>
            </w:r>
          </w:p>
        </w:tc>
        <w:tc>
          <w:tcPr>
            <w:tcW w:w="970"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部门全年执行数与全年预算数的比率。资金总体=基本支出+项目支出+其他</w:t>
            </w:r>
          </w:p>
        </w:tc>
        <w:tc>
          <w:tcPr>
            <w:tcW w:w="1270" w:type="pct"/>
            <w:vMerge w:val="restart"/>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①得分一档最高不能超过该指标分值上限（20分）。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②该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tc>
      </w:tr>
      <w:tr>
        <w:tblPrEx>
          <w:tblCellMar>
            <w:top w:w="0" w:type="dxa"/>
            <w:left w:w="108" w:type="dxa"/>
            <w:bottom w:w="0" w:type="dxa"/>
            <w:right w:w="108" w:type="dxa"/>
          </w:tblCellMar>
        </w:tblPrEx>
        <w:trPr>
          <w:cantSplit/>
          <w:trHeight w:val="1020" w:hRule="atLeast"/>
        </w:trPr>
        <w:tc>
          <w:tcPr>
            <w:tcW w:w="393" w:type="pct"/>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0"/>
                <w:szCs w:val="20"/>
                <w:highlight w:val="yellow"/>
              </w:rPr>
            </w:pPr>
          </w:p>
        </w:tc>
        <w:tc>
          <w:tcPr>
            <w:tcW w:w="394" w:type="pct"/>
            <w:tcBorders>
              <w:top w:val="single" w:color="auto" w:sz="4" w:space="0"/>
              <w:left w:val="single" w:color="auto" w:sz="4" w:space="0"/>
              <w:bottom w:val="single" w:color="auto" w:sz="4" w:space="0"/>
              <w:right w:val="nil"/>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基本支出</w:t>
            </w:r>
          </w:p>
        </w:tc>
        <w:tc>
          <w:tcPr>
            <w:tcW w:w="358"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8</w:t>
            </w:r>
            <w:r>
              <w:rPr>
                <w:rFonts w:hint="eastAsia" w:ascii="宋体" w:hAnsi="宋体" w:cs="宋体"/>
                <w:color w:val="000000"/>
                <w:kern w:val="0"/>
                <w:sz w:val="20"/>
                <w:szCs w:val="20"/>
                <w:highlight w:val="none"/>
              </w:rPr>
              <w:t>,</w:t>
            </w:r>
            <w:r>
              <w:rPr>
                <w:rFonts w:hint="eastAsia" w:ascii="宋体" w:hAnsi="宋体" w:cs="宋体"/>
                <w:color w:val="000000"/>
                <w:kern w:val="0"/>
                <w:sz w:val="20"/>
                <w:szCs w:val="20"/>
                <w:highlight w:val="none"/>
                <w:lang w:val="en-US" w:eastAsia="zh-CN"/>
              </w:rPr>
              <w:t>634.33</w:t>
            </w:r>
            <w:r>
              <w:rPr>
                <w:rFonts w:hint="eastAsia" w:ascii="宋体" w:hAnsi="宋体" w:cs="宋体"/>
                <w:color w:val="000000"/>
                <w:kern w:val="0"/>
                <w:sz w:val="20"/>
                <w:szCs w:val="20"/>
                <w:highlight w:val="none"/>
              </w:rPr>
              <w:t>　</w:t>
            </w:r>
          </w:p>
        </w:tc>
        <w:tc>
          <w:tcPr>
            <w:tcW w:w="358"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8,504.06</w:t>
            </w:r>
            <w:r>
              <w:rPr>
                <w:rFonts w:hint="eastAsia" w:ascii="宋体" w:hAnsi="宋体" w:cs="宋体"/>
                <w:color w:val="000000"/>
                <w:kern w:val="0"/>
                <w:sz w:val="20"/>
                <w:szCs w:val="20"/>
                <w:highlight w:val="none"/>
              </w:rPr>
              <w:t>　</w:t>
            </w:r>
          </w:p>
        </w:tc>
        <w:tc>
          <w:tcPr>
            <w:tcW w:w="706"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w:t>
            </w:r>
          </w:p>
        </w:tc>
        <w:tc>
          <w:tcPr>
            <w:tcW w:w="244"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0"/>
                <w:szCs w:val="20"/>
                <w:highlight w:val="yellow"/>
              </w:rPr>
            </w:pPr>
          </w:p>
        </w:tc>
        <w:tc>
          <w:tcPr>
            <w:tcW w:w="303" w:type="pct"/>
            <w:vMerge w:val="continue"/>
            <w:tcBorders>
              <w:top w:val="single" w:color="auto" w:sz="4" w:space="0"/>
              <w:left w:val="nil"/>
              <w:bottom w:val="single" w:color="auto" w:sz="4" w:space="0"/>
              <w:right w:val="nil"/>
            </w:tcBorders>
            <w:noWrap w:val="0"/>
            <w:vAlign w:val="center"/>
          </w:tcPr>
          <w:p>
            <w:pPr>
              <w:widowControl/>
              <w:jc w:val="left"/>
              <w:rPr>
                <w:rFonts w:ascii="宋体" w:hAnsi="宋体" w:cs="宋体"/>
                <w:color w:val="000000"/>
                <w:kern w:val="0"/>
                <w:sz w:val="20"/>
                <w:szCs w:val="20"/>
                <w:highlight w:val="yellow"/>
              </w:rPr>
            </w:pPr>
          </w:p>
        </w:tc>
        <w:tc>
          <w:tcPr>
            <w:tcW w:w="970"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highlight w:val="yellow"/>
              </w:rPr>
            </w:pPr>
          </w:p>
        </w:tc>
        <w:tc>
          <w:tcPr>
            <w:tcW w:w="1270" w:type="pct"/>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highlight w:val="yellow"/>
              </w:rPr>
            </w:pPr>
          </w:p>
        </w:tc>
      </w:tr>
      <w:tr>
        <w:tblPrEx>
          <w:tblCellMar>
            <w:top w:w="0" w:type="dxa"/>
            <w:left w:w="108" w:type="dxa"/>
            <w:bottom w:w="0" w:type="dxa"/>
            <w:right w:w="108" w:type="dxa"/>
          </w:tblCellMar>
        </w:tblPrEx>
        <w:trPr>
          <w:cantSplit/>
          <w:trHeight w:val="1144" w:hRule="atLeast"/>
        </w:trPr>
        <w:tc>
          <w:tcPr>
            <w:tcW w:w="393" w:type="pct"/>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0"/>
                <w:szCs w:val="20"/>
                <w:highlight w:val="yellow"/>
              </w:rPr>
            </w:pPr>
          </w:p>
        </w:tc>
        <w:tc>
          <w:tcPr>
            <w:tcW w:w="394" w:type="pct"/>
            <w:tcBorders>
              <w:top w:val="single" w:color="auto" w:sz="4" w:space="0"/>
              <w:left w:val="single" w:color="auto" w:sz="4" w:space="0"/>
              <w:bottom w:val="single" w:color="auto" w:sz="4" w:space="0"/>
              <w:right w:val="nil"/>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项目支出</w:t>
            </w:r>
          </w:p>
        </w:tc>
        <w:tc>
          <w:tcPr>
            <w:tcW w:w="358"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865.00</w:t>
            </w:r>
            <w:r>
              <w:rPr>
                <w:rFonts w:hint="eastAsia" w:ascii="宋体" w:hAnsi="宋体" w:cs="宋体"/>
                <w:color w:val="000000"/>
                <w:kern w:val="0"/>
                <w:sz w:val="20"/>
                <w:szCs w:val="20"/>
                <w:highlight w:val="none"/>
              </w:rPr>
              <w:t>　</w:t>
            </w:r>
          </w:p>
        </w:tc>
        <w:tc>
          <w:tcPr>
            <w:tcW w:w="358"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709.25</w:t>
            </w:r>
            <w:r>
              <w:rPr>
                <w:rFonts w:hint="eastAsia" w:ascii="宋体" w:hAnsi="宋体" w:cs="宋体"/>
                <w:color w:val="000000"/>
                <w:kern w:val="0"/>
                <w:sz w:val="20"/>
                <w:szCs w:val="20"/>
                <w:highlight w:val="none"/>
              </w:rPr>
              <w:t>　</w:t>
            </w:r>
          </w:p>
        </w:tc>
        <w:tc>
          <w:tcPr>
            <w:tcW w:w="706"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0"/>
                <w:szCs w:val="20"/>
                <w:highlight w:val="none"/>
              </w:rPr>
            </w:pPr>
          </w:p>
        </w:tc>
        <w:tc>
          <w:tcPr>
            <w:tcW w:w="244"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0"/>
                <w:szCs w:val="20"/>
                <w:highlight w:val="yellow"/>
              </w:rPr>
            </w:pPr>
          </w:p>
        </w:tc>
        <w:tc>
          <w:tcPr>
            <w:tcW w:w="303" w:type="pct"/>
            <w:vMerge w:val="continue"/>
            <w:tcBorders>
              <w:top w:val="single" w:color="auto" w:sz="4" w:space="0"/>
              <w:left w:val="nil"/>
              <w:bottom w:val="single" w:color="auto" w:sz="4" w:space="0"/>
              <w:right w:val="nil"/>
            </w:tcBorders>
            <w:noWrap w:val="0"/>
            <w:vAlign w:val="center"/>
          </w:tcPr>
          <w:p>
            <w:pPr>
              <w:widowControl/>
              <w:jc w:val="left"/>
              <w:rPr>
                <w:rFonts w:ascii="宋体" w:hAnsi="宋体" w:cs="宋体"/>
                <w:color w:val="000000"/>
                <w:kern w:val="0"/>
                <w:sz w:val="20"/>
                <w:szCs w:val="20"/>
                <w:highlight w:val="yellow"/>
              </w:rPr>
            </w:pPr>
          </w:p>
        </w:tc>
        <w:tc>
          <w:tcPr>
            <w:tcW w:w="970"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highlight w:val="yellow"/>
              </w:rPr>
            </w:pPr>
          </w:p>
        </w:tc>
        <w:tc>
          <w:tcPr>
            <w:tcW w:w="1270" w:type="pct"/>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highlight w:val="yellow"/>
              </w:rPr>
            </w:pPr>
          </w:p>
        </w:tc>
      </w:tr>
      <w:tr>
        <w:tblPrEx>
          <w:tblCellMar>
            <w:top w:w="0" w:type="dxa"/>
            <w:left w:w="108" w:type="dxa"/>
            <w:bottom w:w="0" w:type="dxa"/>
            <w:right w:w="108" w:type="dxa"/>
          </w:tblCellMar>
        </w:tblPrEx>
        <w:trPr>
          <w:cantSplit/>
          <w:trHeight w:val="1056" w:hRule="atLeast"/>
        </w:trPr>
        <w:tc>
          <w:tcPr>
            <w:tcW w:w="393" w:type="pct"/>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0"/>
                <w:szCs w:val="20"/>
                <w:highlight w:val="yellow"/>
              </w:rPr>
            </w:pPr>
          </w:p>
        </w:tc>
        <w:tc>
          <w:tcPr>
            <w:tcW w:w="394"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其他</w:t>
            </w:r>
          </w:p>
        </w:tc>
        <w:tc>
          <w:tcPr>
            <w:tcW w:w="358"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0</w:t>
            </w:r>
            <w:r>
              <w:rPr>
                <w:rFonts w:hint="eastAsia" w:ascii="宋体" w:hAnsi="宋体" w:cs="宋体"/>
                <w:color w:val="000000"/>
                <w:kern w:val="0"/>
                <w:sz w:val="20"/>
                <w:szCs w:val="20"/>
                <w:highlight w:val="none"/>
              </w:rPr>
              <w:t>　</w:t>
            </w:r>
          </w:p>
        </w:tc>
        <w:tc>
          <w:tcPr>
            <w:tcW w:w="358"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0</w:t>
            </w:r>
            <w:r>
              <w:rPr>
                <w:rFonts w:hint="eastAsia" w:ascii="宋体" w:hAnsi="宋体" w:cs="宋体"/>
                <w:color w:val="000000"/>
                <w:kern w:val="0"/>
                <w:sz w:val="20"/>
                <w:szCs w:val="20"/>
                <w:highlight w:val="none"/>
              </w:rPr>
              <w:t>　</w:t>
            </w:r>
          </w:p>
        </w:tc>
        <w:tc>
          <w:tcPr>
            <w:tcW w:w="706"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0"/>
                <w:szCs w:val="20"/>
                <w:highlight w:val="yellow"/>
              </w:rPr>
            </w:pPr>
          </w:p>
        </w:tc>
        <w:tc>
          <w:tcPr>
            <w:tcW w:w="244"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0"/>
                <w:szCs w:val="20"/>
                <w:highlight w:val="yellow"/>
              </w:rPr>
            </w:pPr>
          </w:p>
        </w:tc>
        <w:tc>
          <w:tcPr>
            <w:tcW w:w="303" w:type="pct"/>
            <w:vMerge w:val="continue"/>
            <w:tcBorders>
              <w:top w:val="single" w:color="auto" w:sz="4" w:space="0"/>
              <w:left w:val="nil"/>
              <w:bottom w:val="single" w:color="auto" w:sz="4" w:space="0"/>
              <w:right w:val="nil"/>
            </w:tcBorders>
            <w:noWrap w:val="0"/>
            <w:vAlign w:val="center"/>
          </w:tcPr>
          <w:p>
            <w:pPr>
              <w:widowControl/>
              <w:jc w:val="left"/>
              <w:rPr>
                <w:rFonts w:ascii="宋体" w:hAnsi="宋体" w:cs="宋体"/>
                <w:color w:val="000000"/>
                <w:kern w:val="0"/>
                <w:sz w:val="20"/>
                <w:szCs w:val="20"/>
                <w:highlight w:val="yellow"/>
              </w:rPr>
            </w:pPr>
          </w:p>
        </w:tc>
        <w:tc>
          <w:tcPr>
            <w:tcW w:w="970"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highlight w:val="yellow"/>
              </w:rPr>
            </w:pPr>
          </w:p>
        </w:tc>
        <w:tc>
          <w:tcPr>
            <w:tcW w:w="1270" w:type="pct"/>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highlight w:val="yellow"/>
              </w:rPr>
            </w:pPr>
          </w:p>
        </w:tc>
      </w:tr>
      <w:tr>
        <w:tblPrEx>
          <w:tblCellMar>
            <w:top w:w="0" w:type="dxa"/>
            <w:left w:w="108" w:type="dxa"/>
            <w:bottom w:w="0" w:type="dxa"/>
            <w:right w:w="108" w:type="dxa"/>
          </w:tblCellMar>
        </w:tblPrEx>
        <w:trPr>
          <w:cantSplit/>
          <w:trHeight w:val="479" w:hRule="atLeast"/>
        </w:trPr>
        <w:tc>
          <w:tcPr>
            <w:tcW w:w="5000" w:type="pct"/>
            <w:gridSpan w:val="9"/>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yellow"/>
              </w:rPr>
            </w:pPr>
            <w:r>
              <w:rPr>
                <w:rFonts w:hint="eastAsia" w:ascii="宋体" w:hAnsi="宋体" w:cs="宋体"/>
                <w:color w:val="000000"/>
                <w:kern w:val="0"/>
                <w:sz w:val="18"/>
                <w:szCs w:val="18"/>
                <w:highlight w:val="none"/>
              </w:rPr>
              <w:t>二</w:t>
            </w:r>
            <w:r>
              <w:rPr>
                <w:rFonts w:ascii="宋体" w:hAnsi="宋体" w:cs="宋体"/>
                <w:color w:val="000000"/>
                <w:kern w:val="0"/>
                <w:sz w:val="18"/>
                <w:szCs w:val="18"/>
                <w:highlight w:val="none"/>
              </w:rPr>
              <w:t>、</w:t>
            </w:r>
            <w:r>
              <w:rPr>
                <w:rFonts w:hint="eastAsia" w:ascii="宋体" w:hAnsi="宋体" w:cs="宋体"/>
                <w:color w:val="000000"/>
                <w:kern w:val="0"/>
                <w:sz w:val="20"/>
                <w:szCs w:val="20"/>
                <w:highlight w:val="none"/>
              </w:rPr>
              <w:t>整体绩效目标实现情况（60分）</w:t>
            </w:r>
          </w:p>
        </w:tc>
      </w:tr>
      <w:tr>
        <w:tblPrEx>
          <w:tblCellMar>
            <w:top w:w="0" w:type="dxa"/>
            <w:left w:w="108" w:type="dxa"/>
            <w:bottom w:w="0" w:type="dxa"/>
            <w:right w:w="108" w:type="dxa"/>
          </w:tblCellMar>
        </w:tblPrEx>
        <w:trPr>
          <w:cantSplit/>
          <w:trHeight w:val="499" w:hRule="atLeast"/>
        </w:trPr>
        <w:tc>
          <w:tcPr>
            <w:tcW w:w="393"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一</w:t>
            </w:r>
            <w:r>
              <w:rPr>
                <w:rFonts w:ascii="宋体" w:hAnsi="宋体" w:cs="宋体"/>
                <w:color w:val="000000"/>
                <w:kern w:val="0"/>
                <w:sz w:val="20"/>
                <w:szCs w:val="20"/>
                <w:highlight w:val="none"/>
              </w:rPr>
              <w:t>级指标</w:t>
            </w:r>
          </w:p>
        </w:tc>
        <w:tc>
          <w:tcPr>
            <w:tcW w:w="394"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二</w:t>
            </w:r>
            <w:r>
              <w:rPr>
                <w:rFonts w:ascii="宋体" w:hAnsi="宋体" w:cs="宋体"/>
                <w:color w:val="000000"/>
                <w:kern w:val="0"/>
                <w:sz w:val="20"/>
                <w:szCs w:val="20"/>
                <w:highlight w:val="none"/>
              </w:rPr>
              <w:t>级指标</w:t>
            </w:r>
            <w:r>
              <w:rPr>
                <w:rFonts w:hint="eastAsia" w:ascii="宋体" w:hAnsi="宋体" w:cs="宋体"/>
                <w:color w:val="000000"/>
                <w:kern w:val="0"/>
                <w:sz w:val="20"/>
                <w:szCs w:val="20"/>
                <w:highlight w:val="none"/>
              </w:rPr>
              <w:t>　</w:t>
            </w:r>
          </w:p>
        </w:tc>
        <w:tc>
          <w:tcPr>
            <w:tcW w:w="358"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三</w:t>
            </w:r>
            <w:r>
              <w:rPr>
                <w:rFonts w:ascii="宋体" w:hAnsi="宋体" w:cs="宋体"/>
                <w:color w:val="000000"/>
                <w:kern w:val="0"/>
                <w:sz w:val="20"/>
                <w:szCs w:val="20"/>
                <w:highlight w:val="none"/>
              </w:rPr>
              <w:t>级指标</w:t>
            </w:r>
            <w:r>
              <w:rPr>
                <w:rFonts w:hint="eastAsia" w:ascii="宋体" w:hAnsi="宋体" w:cs="宋体"/>
                <w:color w:val="000000"/>
                <w:kern w:val="0"/>
                <w:sz w:val="20"/>
                <w:szCs w:val="20"/>
                <w:highlight w:val="none"/>
              </w:rPr>
              <w:t>　</w:t>
            </w:r>
          </w:p>
        </w:tc>
        <w:tc>
          <w:tcPr>
            <w:tcW w:w="358"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指标值</w:t>
            </w:r>
          </w:p>
        </w:tc>
        <w:tc>
          <w:tcPr>
            <w:tcW w:w="706"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完成值</w:t>
            </w:r>
          </w:p>
        </w:tc>
        <w:tc>
          <w:tcPr>
            <w:tcW w:w="244"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分值</w:t>
            </w:r>
          </w:p>
        </w:tc>
        <w:tc>
          <w:tcPr>
            <w:tcW w:w="303" w:type="pct"/>
            <w:tcBorders>
              <w:top w:val="single" w:color="auto" w:sz="4" w:space="0"/>
              <w:left w:val="nil"/>
              <w:bottom w:val="single" w:color="auto" w:sz="4" w:space="0"/>
              <w:right w:val="nil"/>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得分</w:t>
            </w:r>
          </w:p>
        </w:tc>
        <w:tc>
          <w:tcPr>
            <w:tcW w:w="970"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bCs/>
                <w:color w:val="000000"/>
                <w:kern w:val="0"/>
                <w:sz w:val="18"/>
                <w:szCs w:val="18"/>
                <w:highlight w:val="none"/>
              </w:rPr>
            </w:pPr>
            <w:r>
              <w:rPr>
                <w:rFonts w:hint="eastAsia" w:ascii="宋体" w:hAnsi="宋体" w:cs="宋体"/>
                <w:bCs/>
                <w:color w:val="000000"/>
                <w:kern w:val="0"/>
                <w:sz w:val="18"/>
                <w:szCs w:val="18"/>
                <w:highlight w:val="none"/>
              </w:rPr>
              <w:t>指标</w:t>
            </w:r>
            <w:r>
              <w:rPr>
                <w:rFonts w:ascii="宋体" w:hAnsi="宋体" w:cs="宋体"/>
                <w:bCs/>
                <w:color w:val="000000"/>
                <w:kern w:val="0"/>
                <w:sz w:val="18"/>
                <w:szCs w:val="18"/>
                <w:highlight w:val="none"/>
              </w:rPr>
              <w:t>解释</w:t>
            </w:r>
          </w:p>
        </w:tc>
        <w:tc>
          <w:tcPr>
            <w:tcW w:w="1270"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评</w:t>
            </w:r>
            <w:r>
              <w:rPr>
                <w:rFonts w:ascii="宋体" w:hAnsi="宋体" w:cs="宋体"/>
                <w:color w:val="000000"/>
                <w:kern w:val="0"/>
                <w:sz w:val="18"/>
                <w:szCs w:val="18"/>
                <w:highlight w:val="none"/>
              </w:rPr>
              <w:t>分标准</w:t>
            </w:r>
          </w:p>
        </w:tc>
      </w:tr>
      <w:tr>
        <w:tblPrEx>
          <w:tblCellMar>
            <w:top w:w="0" w:type="dxa"/>
            <w:left w:w="108" w:type="dxa"/>
            <w:bottom w:w="0" w:type="dxa"/>
            <w:right w:w="108" w:type="dxa"/>
          </w:tblCellMar>
        </w:tblPrEx>
        <w:trPr>
          <w:cantSplit/>
          <w:trHeight w:val="1434" w:hRule="atLeast"/>
        </w:trPr>
        <w:tc>
          <w:tcPr>
            <w:tcW w:w="393"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整体绩效目标实现情况（60）</w:t>
            </w:r>
          </w:p>
        </w:tc>
        <w:tc>
          <w:tcPr>
            <w:tcW w:w="394"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000000"/>
                <w:kern w:val="0"/>
                <w:sz w:val="20"/>
                <w:szCs w:val="20"/>
                <w:highlight w:val="none"/>
              </w:rPr>
            </w:pPr>
          </w:p>
          <w:p>
            <w:pPr>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产出（30）</w:t>
            </w:r>
          </w:p>
        </w:tc>
        <w:tc>
          <w:tcPr>
            <w:tcW w:w="358"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000000"/>
                <w:kern w:val="0"/>
                <w:sz w:val="20"/>
                <w:szCs w:val="20"/>
                <w:highlight w:val="none"/>
              </w:rPr>
            </w:pPr>
          </w:p>
          <w:p>
            <w:pPr>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指标1</w:t>
            </w:r>
          </w:p>
        </w:tc>
        <w:tc>
          <w:tcPr>
            <w:tcW w:w="358"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产出指标</w:t>
            </w:r>
            <w:r>
              <w:rPr>
                <w:rFonts w:hint="eastAsia" w:ascii="宋体" w:hAnsi="宋体" w:cs="宋体"/>
                <w:color w:val="000000"/>
                <w:kern w:val="0"/>
                <w:sz w:val="20"/>
                <w:szCs w:val="20"/>
                <w:highlight w:val="none"/>
                <w:lang w:val="en-US" w:eastAsia="zh-CN"/>
              </w:rPr>
              <w:t>数量</w:t>
            </w:r>
            <w:r>
              <w:rPr>
                <w:rFonts w:hint="eastAsia" w:ascii="宋体" w:hAnsi="宋体" w:cs="宋体"/>
                <w:color w:val="000000"/>
                <w:kern w:val="0"/>
                <w:sz w:val="20"/>
                <w:szCs w:val="20"/>
                <w:highlight w:val="none"/>
              </w:rPr>
              <w:t>指标执行率</w:t>
            </w:r>
          </w:p>
        </w:tc>
        <w:tc>
          <w:tcPr>
            <w:tcW w:w="706"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000000"/>
                <w:kern w:val="0"/>
                <w:sz w:val="20"/>
                <w:szCs w:val="20"/>
                <w:highlight w:val="none"/>
              </w:rPr>
            </w:pPr>
          </w:p>
          <w:p>
            <w:pPr>
              <w:jc w:val="center"/>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18"/>
                <w:szCs w:val="18"/>
                <w:highlight w:val="none"/>
                <w:lang w:val="en-US" w:eastAsia="zh-CN"/>
              </w:rPr>
              <w:t>100%</w:t>
            </w:r>
          </w:p>
        </w:tc>
        <w:tc>
          <w:tcPr>
            <w:tcW w:w="244"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000000"/>
                <w:kern w:val="0"/>
                <w:sz w:val="20"/>
                <w:szCs w:val="20"/>
                <w:highlight w:val="none"/>
              </w:rPr>
            </w:pPr>
          </w:p>
          <w:p>
            <w:pPr>
              <w:jc w:val="center"/>
              <w:rPr>
                <w:rFonts w:hint="eastAsia"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5</w:t>
            </w:r>
          </w:p>
        </w:tc>
        <w:tc>
          <w:tcPr>
            <w:tcW w:w="303"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000000"/>
                <w:kern w:val="0"/>
                <w:sz w:val="20"/>
                <w:szCs w:val="20"/>
                <w:highlight w:val="none"/>
              </w:rPr>
            </w:pPr>
          </w:p>
          <w:p>
            <w:pPr>
              <w:jc w:val="center"/>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5</w:t>
            </w:r>
          </w:p>
        </w:tc>
        <w:tc>
          <w:tcPr>
            <w:tcW w:w="970"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b/>
                <w:bCs/>
                <w:color w:val="000000"/>
                <w:kern w:val="0"/>
                <w:sz w:val="18"/>
                <w:szCs w:val="18"/>
                <w:highlight w:val="none"/>
              </w:rPr>
              <w:t>产出数量</w:t>
            </w:r>
            <w:r>
              <w:rPr>
                <w:rFonts w:hint="eastAsia" w:ascii="宋体" w:hAnsi="宋体" w:cs="宋体"/>
                <w:color w:val="000000"/>
                <w:kern w:val="0"/>
                <w:sz w:val="18"/>
                <w:szCs w:val="18"/>
                <w:highlight w:val="none"/>
              </w:rPr>
              <w:t>：计划完成率=（实际完成工作数/计划工作数）×100%。实际完成工作数：一定时期（年度或规划期）内部门（单位）实际完成工作任务的数量。计划工作数：部门（单位）整体绩效目标确定的一定时期（年度或规划期）内预计完成工作任务的数量。</w:t>
            </w:r>
            <w:r>
              <w:rPr>
                <w:rFonts w:hint="eastAsia" w:ascii="宋体" w:hAnsi="宋体" w:cs="宋体"/>
                <w:b/>
                <w:bCs/>
                <w:color w:val="000000"/>
                <w:kern w:val="0"/>
                <w:sz w:val="18"/>
                <w:szCs w:val="18"/>
                <w:highlight w:val="none"/>
              </w:rPr>
              <w:t>产出质量</w:t>
            </w:r>
            <w:r>
              <w:rPr>
                <w:rFonts w:hint="eastAsia" w:ascii="宋体" w:hAnsi="宋体" w:cs="宋体"/>
                <w:color w:val="000000"/>
                <w:kern w:val="0"/>
                <w:sz w:val="18"/>
                <w:szCs w:val="18"/>
                <w:highlight w:val="none"/>
              </w:rPr>
              <w:t>：质量达标率=质量达标工作数/实际完成工作数×100%。质量达标工作数：一定时期（年度或规划期）内部门（单位）实际完成工作数中达到部门绩效目标要求（绩效标准值）的工作任务数量。</w:t>
            </w:r>
            <w:r>
              <w:rPr>
                <w:rFonts w:hint="eastAsia" w:ascii="宋体" w:hAnsi="宋体" w:cs="宋体"/>
                <w:b/>
                <w:bCs/>
                <w:color w:val="000000"/>
                <w:kern w:val="0"/>
                <w:sz w:val="18"/>
                <w:szCs w:val="18"/>
                <w:highlight w:val="none"/>
              </w:rPr>
              <w:t>产出进度：</w:t>
            </w:r>
            <w:r>
              <w:rPr>
                <w:rFonts w:hint="eastAsia" w:ascii="宋体" w:hAnsi="宋体" w:cs="宋体"/>
                <w:color w:val="000000"/>
                <w:kern w:val="0"/>
                <w:sz w:val="18"/>
                <w:szCs w:val="18"/>
                <w:highlight w:val="none"/>
              </w:rPr>
              <w:t>按时完成率=（按时完成工作数/实际完成工作数）×100%。按时完成工作数：部门（单位）按照整体绩效目标确定的时限实际完成的工作任务数量。</w:t>
            </w:r>
            <w:r>
              <w:rPr>
                <w:rFonts w:hint="eastAsia" w:ascii="宋体" w:hAnsi="宋体" w:cs="宋体"/>
                <w:b/>
                <w:bCs/>
                <w:color w:val="000000"/>
                <w:kern w:val="0"/>
                <w:sz w:val="18"/>
                <w:szCs w:val="18"/>
                <w:highlight w:val="none"/>
              </w:rPr>
              <w:t>产出成本</w:t>
            </w:r>
            <w:r>
              <w:rPr>
                <w:rFonts w:hint="eastAsia" w:ascii="宋体" w:hAnsi="宋体" w:cs="宋体"/>
                <w:color w:val="000000"/>
                <w:kern w:val="0"/>
                <w:sz w:val="18"/>
                <w:szCs w:val="18"/>
                <w:highlight w:val="none"/>
              </w:rPr>
              <w:t>：单位产出相对于上一年度的节约额；②单位产出相对于市场同类产出的节约额；③部门公用经费的控制情况。</w:t>
            </w:r>
          </w:p>
        </w:tc>
        <w:tc>
          <w:tcPr>
            <w:tcW w:w="1270"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部门根据本单位情况自行确定并选择产出指标，合理确定各项指标权重。可量化的指标按照比率*单项指标分值即为该指标得分。如果不能定量评价，则以定性的方式进行自评。</w:t>
            </w:r>
          </w:p>
        </w:tc>
      </w:tr>
      <w:tr>
        <w:tblPrEx>
          <w:tblCellMar>
            <w:top w:w="0" w:type="dxa"/>
            <w:left w:w="108" w:type="dxa"/>
            <w:bottom w:w="0" w:type="dxa"/>
            <w:right w:w="108" w:type="dxa"/>
          </w:tblCellMar>
        </w:tblPrEx>
        <w:trPr>
          <w:cantSplit/>
          <w:trHeight w:val="993" w:hRule="atLeast"/>
        </w:trPr>
        <w:tc>
          <w:tcPr>
            <w:tcW w:w="393" w:type="pct"/>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0"/>
                <w:szCs w:val="20"/>
                <w:highlight w:val="yellow"/>
              </w:rPr>
            </w:pPr>
          </w:p>
        </w:tc>
        <w:tc>
          <w:tcPr>
            <w:tcW w:w="394"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0"/>
                <w:szCs w:val="20"/>
                <w:highlight w:val="yellow"/>
              </w:rPr>
            </w:pPr>
          </w:p>
        </w:tc>
        <w:tc>
          <w:tcPr>
            <w:tcW w:w="358"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指标2</w:t>
            </w:r>
          </w:p>
        </w:tc>
        <w:tc>
          <w:tcPr>
            <w:tcW w:w="358"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产出指标质量指标</w:t>
            </w:r>
            <w:r>
              <w:rPr>
                <w:rFonts w:hint="eastAsia" w:ascii="宋体" w:hAnsi="宋体" w:cs="宋体"/>
                <w:color w:val="000000"/>
                <w:kern w:val="0"/>
                <w:sz w:val="20"/>
                <w:szCs w:val="20"/>
                <w:highlight w:val="none"/>
                <w:lang w:val="en-US" w:eastAsia="zh-CN"/>
              </w:rPr>
              <w:t>项目</w:t>
            </w:r>
            <w:r>
              <w:rPr>
                <w:rFonts w:hint="eastAsia" w:ascii="宋体" w:hAnsi="宋体" w:cs="宋体"/>
                <w:color w:val="000000"/>
                <w:kern w:val="0"/>
                <w:sz w:val="20"/>
                <w:szCs w:val="20"/>
                <w:highlight w:val="none"/>
              </w:rPr>
              <w:t>质量　</w:t>
            </w:r>
          </w:p>
        </w:tc>
        <w:tc>
          <w:tcPr>
            <w:tcW w:w="706"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18"/>
                <w:szCs w:val="18"/>
                <w:highlight w:val="none"/>
                <w:lang w:val="en-US" w:eastAsia="zh-CN"/>
              </w:rPr>
              <w:t>好</w:t>
            </w:r>
          </w:p>
        </w:tc>
        <w:tc>
          <w:tcPr>
            <w:tcW w:w="244"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10</w:t>
            </w:r>
          </w:p>
        </w:tc>
        <w:tc>
          <w:tcPr>
            <w:tcW w:w="303" w:type="pct"/>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10</w:t>
            </w:r>
          </w:p>
        </w:tc>
        <w:tc>
          <w:tcPr>
            <w:tcW w:w="970" w:type="pct"/>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highlight w:val="yellow"/>
              </w:rPr>
            </w:pPr>
          </w:p>
        </w:tc>
        <w:tc>
          <w:tcPr>
            <w:tcW w:w="1270" w:type="pct"/>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highlight w:val="yellow"/>
              </w:rPr>
            </w:pPr>
          </w:p>
        </w:tc>
      </w:tr>
      <w:tr>
        <w:tblPrEx>
          <w:tblCellMar>
            <w:top w:w="0" w:type="dxa"/>
            <w:left w:w="108" w:type="dxa"/>
            <w:bottom w:w="0" w:type="dxa"/>
            <w:right w:w="108" w:type="dxa"/>
          </w:tblCellMar>
        </w:tblPrEx>
        <w:trPr>
          <w:cantSplit/>
          <w:trHeight w:val="1151" w:hRule="atLeast"/>
        </w:trPr>
        <w:tc>
          <w:tcPr>
            <w:tcW w:w="393" w:type="pct"/>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0"/>
                <w:szCs w:val="20"/>
                <w:highlight w:val="yellow"/>
              </w:rPr>
            </w:pPr>
          </w:p>
        </w:tc>
        <w:tc>
          <w:tcPr>
            <w:tcW w:w="394"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0"/>
                <w:szCs w:val="20"/>
                <w:highlight w:val="yellow"/>
              </w:rPr>
            </w:pPr>
          </w:p>
        </w:tc>
        <w:tc>
          <w:tcPr>
            <w:tcW w:w="358"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指标3</w:t>
            </w:r>
          </w:p>
        </w:tc>
        <w:tc>
          <w:tcPr>
            <w:tcW w:w="358"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产出指标时效指标完成效率　</w:t>
            </w:r>
          </w:p>
        </w:tc>
        <w:tc>
          <w:tcPr>
            <w:tcW w:w="706"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18"/>
                <w:szCs w:val="18"/>
                <w:highlight w:val="none"/>
                <w:lang w:val="en-US" w:eastAsia="zh-CN"/>
              </w:rPr>
              <w:t>按时完成项目</w:t>
            </w:r>
            <w:r>
              <w:rPr>
                <w:rFonts w:hint="eastAsia" w:ascii="宋体" w:hAnsi="宋体" w:cs="宋体"/>
                <w:color w:val="000000"/>
                <w:kern w:val="0"/>
                <w:sz w:val="18"/>
                <w:szCs w:val="18"/>
                <w:highlight w:val="none"/>
              </w:rPr>
              <w:t>　</w:t>
            </w:r>
          </w:p>
        </w:tc>
        <w:tc>
          <w:tcPr>
            <w:tcW w:w="244"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10</w:t>
            </w:r>
          </w:p>
        </w:tc>
        <w:tc>
          <w:tcPr>
            <w:tcW w:w="303" w:type="pct"/>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宋体" w:hAnsi="宋体" w:cs="宋体"/>
                <w:color w:val="000000"/>
                <w:kern w:val="0"/>
                <w:sz w:val="20"/>
                <w:szCs w:val="20"/>
                <w:highlight w:val="none"/>
                <w:lang w:val="en-US"/>
              </w:rPr>
            </w:pPr>
            <w:r>
              <w:rPr>
                <w:rFonts w:hint="eastAsia" w:ascii="宋体" w:hAnsi="宋体" w:cs="宋体"/>
                <w:color w:val="000000"/>
                <w:kern w:val="0"/>
                <w:sz w:val="20"/>
                <w:szCs w:val="20"/>
                <w:highlight w:val="none"/>
                <w:lang w:val="en-US" w:eastAsia="zh-CN"/>
              </w:rPr>
              <w:t>10</w:t>
            </w:r>
          </w:p>
        </w:tc>
        <w:tc>
          <w:tcPr>
            <w:tcW w:w="970" w:type="pct"/>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highlight w:val="yellow"/>
              </w:rPr>
            </w:pPr>
          </w:p>
        </w:tc>
        <w:tc>
          <w:tcPr>
            <w:tcW w:w="1270" w:type="pct"/>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highlight w:val="yellow"/>
              </w:rPr>
            </w:pPr>
          </w:p>
        </w:tc>
      </w:tr>
      <w:tr>
        <w:tblPrEx>
          <w:tblCellMar>
            <w:top w:w="0" w:type="dxa"/>
            <w:left w:w="108" w:type="dxa"/>
            <w:bottom w:w="0" w:type="dxa"/>
            <w:right w:w="108" w:type="dxa"/>
          </w:tblCellMar>
        </w:tblPrEx>
        <w:trPr>
          <w:cantSplit/>
          <w:trHeight w:val="848" w:hRule="atLeast"/>
        </w:trPr>
        <w:tc>
          <w:tcPr>
            <w:tcW w:w="393" w:type="pct"/>
            <w:vMerge w:val="continue"/>
            <w:tcBorders>
              <w:left w:val="single" w:color="auto" w:sz="4" w:space="0"/>
              <w:bottom w:val="single" w:color="000000" w:sz="4" w:space="0"/>
              <w:right w:val="single" w:color="auto" w:sz="4" w:space="0"/>
            </w:tcBorders>
            <w:noWrap w:val="0"/>
            <w:vAlign w:val="center"/>
          </w:tcPr>
          <w:p>
            <w:pPr>
              <w:widowControl/>
              <w:jc w:val="center"/>
              <w:rPr>
                <w:highlight w:val="yellow"/>
              </w:rPr>
            </w:pPr>
          </w:p>
        </w:tc>
        <w:tc>
          <w:tcPr>
            <w:tcW w:w="394" w:type="pct"/>
            <w:vMerge w:val="continue"/>
            <w:tcBorders>
              <w:left w:val="single" w:color="auto" w:sz="4" w:space="0"/>
              <w:bottom w:val="single" w:color="auto" w:sz="4" w:space="0"/>
              <w:right w:val="single" w:color="auto" w:sz="4" w:space="0"/>
            </w:tcBorders>
            <w:noWrap w:val="0"/>
            <w:vAlign w:val="center"/>
          </w:tcPr>
          <w:p>
            <w:pPr>
              <w:widowControl/>
              <w:jc w:val="center"/>
              <w:rPr>
                <w:highlight w:val="yellow"/>
              </w:rPr>
            </w:pPr>
          </w:p>
        </w:tc>
        <w:tc>
          <w:tcPr>
            <w:tcW w:w="358"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eastAsia="zh-CN"/>
              </w:rPr>
            </w:pPr>
            <w:r>
              <w:rPr>
                <w:rFonts w:hint="eastAsia" w:ascii="宋体" w:hAnsi="宋体" w:cs="宋体"/>
                <w:color w:val="000000"/>
                <w:kern w:val="0"/>
                <w:sz w:val="20"/>
                <w:szCs w:val="20"/>
                <w:highlight w:val="none"/>
              </w:rPr>
              <w:t>指标</w:t>
            </w:r>
            <w:r>
              <w:rPr>
                <w:rFonts w:hint="eastAsia" w:ascii="宋体" w:hAnsi="宋体" w:cs="宋体"/>
                <w:color w:val="000000"/>
                <w:kern w:val="0"/>
                <w:sz w:val="20"/>
                <w:szCs w:val="20"/>
                <w:highlight w:val="none"/>
                <w:lang w:val="en-US" w:eastAsia="zh-CN"/>
              </w:rPr>
              <w:t>4</w:t>
            </w:r>
          </w:p>
        </w:tc>
        <w:tc>
          <w:tcPr>
            <w:tcW w:w="358"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产出指标</w:t>
            </w:r>
            <w:r>
              <w:rPr>
                <w:rFonts w:hint="eastAsia" w:ascii="宋体" w:hAnsi="宋体" w:cs="宋体"/>
                <w:color w:val="000000"/>
                <w:kern w:val="0"/>
                <w:sz w:val="20"/>
                <w:szCs w:val="20"/>
                <w:highlight w:val="none"/>
                <w:lang w:val="en-US" w:eastAsia="zh-CN"/>
              </w:rPr>
              <w:t>成本</w:t>
            </w:r>
            <w:r>
              <w:rPr>
                <w:rFonts w:hint="eastAsia" w:ascii="宋体" w:hAnsi="宋体" w:cs="宋体"/>
                <w:color w:val="000000"/>
                <w:kern w:val="0"/>
                <w:sz w:val="20"/>
                <w:szCs w:val="20"/>
                <w:highlight w:val="none"/>
              </w:rPr>
              <w:t>指标</w:t>
            </w:r>
          </w:p>
        </w:tc>
        <w:tc>
          <w:tcPr>
            <w:tcW w:w="706" w:type="pct"/>
            <w:tcBorders>
              <w:top w:val="single" w:color="auto" w:sz="4" w:space="0"/>
              <w:left w:val="single" w:color="auto" w:sz="4" w:space="0"/>
              <w:bottom w:val="single" w:color="auto" w:sz="4" w:space="0"/>
              <w:right w:val="single" w:color="auto" w:sz="4" w:space="0"/>
            </w:tcBorders>
            <w:noWrap w:val="0"/>
            <w:vAlign w:val="center"/>
          </w:tcPr>
          <w:p>
            <w:pPr>
              <w:widowControl/>
              <w:jc w:val="both"/>
              <w:rPr>
                <w:rFonts w:hint="eastAsia" w:ascii="宋体" w:hAnsi="宋体" w:eastAsia="宋体" w:cs="宋体"/>
                <w:color w:val="000000"/>
                <w:kern w:val="0"/>
                <w:sz w:val="20"/>
                <w:szCs w:val="20"/>
                <w:highlight w:val="none"/>
                <w:lang w:val="en-US" w:eastAsia="zh-CN"/>
              </w:rPr>
            </w:pPr>
            <w:r>
              <w:rPr>
                <w:rFonts w:hint="eastAsia" w:ascii="宋体" w:hAnsi="宋体" w:cs="宋体"/>
                <w:color w:val="000000"/>
                <w:kern w:val="0"/>
                <w:sz w:val="18"/>
                <w:szCs w:val="18"/>
                <w:highlight w:val="none"/>
              </w:rPr>
              <w:t>项目支出预算数</w:t>
            </w:r>
            <w:r>
              <w:rPr>
                <w:rFonts w:hint="eastAsia" w:ascii="宋体" w:hAnsi="宋体" w:cs="宋体"/>
                <w:color w:val="000000"/>
                <w:kern w:val="0"/>
                <w:sz w:val="18"/>
                <w:szCs w:val="18"/>
                <w:highlight w:val="none"/>
                <w:lang w:val="en-US" w:eastAsia="zh-CN"/>
              </w:rPr>
              <w:t>865.00</w:t>
            </w:r>
            <w:r>
              <w:rPr>
                <w:rFonts w:hint="eastAsia" w:ascii="宋体" w:hAnsi="宋体" w:cs="宋体"/>
                <w:color w:val="000000"/>
                <w:kern w:val="0"/>
                <w:sz w:val="18"/>
                <w:szCs w:val="18"/>
                <w:highlight w:val="none"/>
              </w:rPr>
              <w:t>万元，项目支出决算数</w:t>
            </w:r>
            <w:r>
              <w:rPr>
                <w:rFonts w:hint="eastAsia" w:ascii="宋体" w:hAnsi="宋体" w:cs="宋体"/>
                <w:color w:val="000000"/>
                <w:kern w:val="0"/>
                <w:sz w:val="18"/>
                <w:szCs w:val="18"/>
                <w:highlight w:val="none"/>
                <w:lang w:val="en-US" w:eastAsia="zh-CN"/>
              </w:rPr>
              <w:t>709.25</w:t>
            </w:r>
            <w:r>
              <w:rPr>
                <w:rFonts w:hint="eastAsia" w:ascii="宋体" w:hAnsi="宋体" w:cs="宋体"/>
                <w:color w:val="000000"/>
                <w:kern w:val="0"/>
                <w:sz w:val="18"/>
                <w:szCs w:val="18"/>
                <w:highlight w:val="none"/>
              </w:rPr>
              <w:t>万元</w:t>
            </w:r>
            <w:r>
              <w:rPr>
                <w:rFonts w:hint="eastAsia" w:ascii="宋体" w:hAnsi="宋体" w:cs="宋体"/>
                <w:color w:val="000000"/>
                <w:kern w:val="0"/>
                <w:sz w:val="18"/>
                <w:szCs w:val="18"/>
                <w:highlight w:val="none"/>
                <w:lang w:eastAsia="zh-CN"/>
              </w:rPr>
              <w:t>。</w:t>
            </w:r>
          </w:p>
        </w:tc>
        <w:tc>
          <w:tcPr>
            <w:tcW w:w="244"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5</w:t>
            </w:r>
          </w:p>
        </w:tc>
        <w:tc>
          <w:tcPr>
            <w:tcW w:w="303" w:type="pct"/>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5</w:t>
            </w:r>
          </w:p>
        </w:tc>
        <w:tc>
          <w:tcPr>
            <w:tcW w:w="970" w:type="pct"/>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yellow"/>
              </w:rPr>
            </w:pPr>
          </w:p>
        </w:tc>
        <w:tc>
          <w:tcPr>
            <w:tcW w:w="1270" w:type="pct"/>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yellow"/>
              </w:rPr>
            </w:pPr>
          </w:p>
        </w:tc>
      </w:tr>
      <w:tr>
        <w:tblPrEx>
          <w:tblCellMar>
            <w:top w:w="0" w:type="dxa"/>
            <w:left w:w="108" w:type="dxa"/>
            <w:bottom w:w="0" w:type="dxa"/>
            <w:right w:w="108" w:type="dxa"/>
          </w:tblCellMar>
        </w:tblPrEx>
        <w:trPr>
          <w:cantSplit/>
          <w:trHeight w:val="675" w:hRule="atLeast"/>
        </w:trPr>
        <w:tc>
          <w:tcPr>
            <w:tcW w:w="393" w:type="pct"/>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0"/>
                <w:szCs w:val="20"/>
                <w:highlight w:val="yellow"/>
              </w:rPr>
            </w:pPr>
          </w:p>
        </w:tc>
        <w:tc>
          <w:tcPr>
            <w:tcW w:w="394"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效果（30）</w:t>
            </w:r>
          </w:p>
        </w:tc>
        <w:tc>
          <w:tcPr>
            <w:tcW w:w="358"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指标1</w:t>
            </w:r>
          </w:p>
        </w:tc>
        <w:tc>
          <w:tcPr>
            <w:tcW w:w="358"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社会效益</w:t>
            </w:r>
            <w:r>
              <w:rPr>
                <w:rFonts w:hint="eastAsia" w:ascii="宋体" w:hAnsi="宋体" w:cs="宋体"/>
                <w:color w:val="000000"/>
                <w:kern w:val="0"/>
                <w:sz w:val="20"/>
                <w:szCs w:val="20"/>
                <w:highlight w:val="none"/>
              </w:rPr>
              <w:t>　</w:t>
            </w:r>
          </w:p>
        </w:tc>
        <w:tc>
          <w:tcPr>
            <w:tcW w:w="706"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rPr>
            </w:pPr>
            <w:r>
              <w:rPr>
                <w:rFonts w:hint="eastAsia" w:ascii="宋体" w:hAnsi="宋体" w:eastAsia="宋体" w:cs="宋体"/>
                <w:color w:val="000000"/>
                <w:kern w:val="0"/>
                <w:sz w:val="18"/>
                <w:szCs w:val="18"/>
                <w:highlight w:val="none"/>
                <w:lang w:val="en-US" w:eastAsia="zh-CN"/>
              </w:rPr>
              <w:t>保障检察工作需要，提高办公效率，满足四大检察业务办案需要，提高检察机关司法公信力</w:t>
            </w:r>
            <w:r>
              <w:rPr>
                <w:rFonts w:hint="eastAsia" w:ascii="宋体" w:hAnsi="宋体" w:cs="宋体"/>
                <w:color w:val="000000"/>
                <w:kern w:val="0"/>
                <w:sz w:val="18"/>
                <w:szCs w:val="18"/>
                <w:highlight w:val="none"/>
                <w:lang w:val="en-US" w:eastAsia="zh-CN"/>
              </w:rPr>
              <w:t>。</w:t>
            </w:r>
            <w:r>
              <w:rPr>
                <w:rFonts w:hint="eastAsia" w:ascii="宋体" w:hAnsi="宋体" w:eastAsia="宋体" w:cs="宋体"/>
                <w:color w:val="000000"/>
                <w:kern w:val="0"/>
                <w:sz w:val="20"/>
                <w:szCs w:val="20"/>
                <w:highlight w:val="none"/>
              </w:rPr>
              <w:t>　</w:t>
            </w:r>
          </w:p>
        </w:tc>
        <w:tc>
          <w:tcPr>
            <w:tcW w:w="244" w:type="pct"/>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15</w:t>
            </w:r>
          </w:p>
        </w:tc>
        <w:tc>
          <w:tcPr>
            <w:tcW w:w="303" w:type="pct"/>
            <w:tcBorders>
              <w:top w:val="single" w:color="auto" w:sz="4" w:space="0"/>
              <w:left w:val="nil"/>
              <w:bottom w:val="single" w:color="auto" w:sz="4" w:space="0"/>
              <w:right w:val="nil"/>
            </w:tcBorders>
            <w:noWrap/>
            <w:vAlign w:val="center"/>
          </w:tcPr>
          <w:p>
            <w:pPr>
              <w:widowControl/>
              <w:jc w:val="center"/>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13</w:t>
            </w:r>
          </w:p>
        </w:tc>
        <w:tc>
          <w:tcPr>
            <w:tcW w:w="970" w:type="pct"/>
            <w:vMerge w:val="restart"/>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b/>
                <w:bCs/>
                <w:color w:val="000000"/>
                <w:kern w:val="0"/>
                <w:sz w:val="18"/>
                <w:szCs w:val="18"/>
                <w:highlight w:val="none"/>
              </w:rPr>
              <w:t>经济效益</w:t>
            </w:r>
            <w:r>
              <w:rPr>
                <w:rFonts w:hint="eastAsia" w:ascii="宋体" w:hAnsi="宋体" w:cs="宋体"/>
                <w:color w:val="000000"/>
                <w:kern w:val="0"/>
                <w:sz w:val="18"/>
                <w:szCs w:val="18"/>
                <w:highlight w:val="none"/>
              </w:rPr>
              <w:t>：部门（单位）履行职责对经济发展所带来的直接或间接影响。</w:t>
            </w:r>
            <w:r>
              <w:rPr>
                <w:rFonts w:hint="eastAsia" w:ascii="宋体" w:hAnsi="宋体" w:cs="宋体"/>
                <w:b/>
                <w:bCs/>
                <w:color w:val="000000"/>
                <w:kern w:val="0"/>
                <w:sz w:val="18"/>
                <w:szCs w:val="18"/>
                <w:highlight w:val="none"/>
              </w:rPr>
              <w:t>社会效益</w:t>
            </w:r>
            <w:r>
              <w:rPr>
                <w:rFonts w:hint="eastAsia" w:ascii="宋体" w:hAnsi="宋体" w:cs="宋体"/>
                <w:color w:val="000000"/>
                <w:kern w:val="0"/>
                <w:sz w:val="18"/>
                <w:szCs w:val="18"/>
                <w:highlight w:val="none"/>
              </w:rPr>
              <w:t>：部门（单位）履行职责对社会发展所带来的直接或间接影响。</w:t>
            </w:r>
            <w:r>
              <w:rPr>
                <w:rFonts w:hint="eastAsia" w:ascii="宋体" w:hAnsi="宋体" w:cs="宋体"/>
                <w:b/>
                <w:bCs/>
                <w:color w:val="000000"/>
                <w:kern w:val="0"/>
                <w:sz w:val="18"/>
                <w:szCs w:val="18"/>
                <w:highlight w:val="none"/>
              </w:rPr>
              <w:t>环境效益</w:t>
            </w:r>
            <w:r>
              <w:rPr>
                <w:rFonts w:hint="eastAsia" w:ascii="宋体" w:hAnsi="宋体" w:cs="宋体"/>
                <w:color w:val="000000"/>
                <w:kern w:val="0"/>
                <w:sz w:val="18"/>
                <w:szCs w:val="18"/>
                <w:highlight w:val="none"/>
              </w:rPr>
              <w:t>：部门（单位）履行职责对环境所带来的直接或间接影响。</w:t>
            </w:r>
            <w:r>
              <w:rPr>
                <w:rFonts w:hint="eastAsia" w:ascii="宋体" w:hAnsi="宋体" w:cs="宋体"/>
                <w:b/>
                <w:bCs/>
                <w:color w:val="000000"/>
                <w:kern w:val="0"/>
                <w:sz w:val="18"/>
                <w:szCs w:val="18"/>
                <w:highlight w:val="none"/>
              </w:rPr>
              <w:t>可持续性影响：</w:t>
            </w:r>
            <w:r>
              <w:rPr>
                <w:rFonts w:hint="eastAsia" w:ascii="宋体" w:hAnsi="宋体" w:cs="宋体"/>
                <w:color w:val="000000"/>
                <w:kern w:val="0"/>
                <w:sz w:val="18"/>
                <w:szCs w:val="18"/>
                <w:highlight w:val="none"/>
              </w:rPr>
              <w:t>部门绩效目标实现的长效机制建设情况，部门工作效率提升措施的创新。</w:t>
            </w:r>
            <w:r>
              <w:rPr>
                <w:rFonts w:hint="eastAsia" w:ascii="宋体" w:hAnsi="宋体" w:cs="宋体"/>
                <w:b/>
                <w:bCs/>
                <w:color w:val="000000"/>
                <w:kern w:val="0"/>
                <w:sz w:val="18"/>
                <w:szCs w:val="18"/>
                <w:highlight w:val="none"/>
              </w:rPr>
              <w:t>服务对象满意度</w:t>
            </w:r>
            <w:r>
              <w:rPr>
                <w:rFonts w:hint="eastAsia" w:ascii="宋体" w:hAnsi="宋体" w:cs="宋体"/>
                <w:color w:val="000000"/>
                <w:kern w:val="0"/>
                <w:sz w:val="18"/>
                <w:szCs w:val="18"/>
                <w:highlight w:val="none"/>
              </w:rPr>
              <w:t>：部门（单位）的服务对象对部门履职效果的满意程度。</w:t>
            </w:r>
          </w:p>
        </w:tc>
        <w:tc>
          <w:tcPr>
            <w:tcW w:w="1270" w:type="pct"/>
            <w:vMerge w:val="restart"/>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部门根据实际情况选择指标进行填写，并将其细化为相应的个性化指标。对于效益类指标可从受益对象瞄准度、受益广度和受益深度上进行设计分析。</w:t>
            </w:r>
          </w:p>
        </w:tc>
      </w:tr>
      <w:tr>
        <w:tblPrEx>
          <w:tblCellMar>
            <w:top w:w="0" w:type="dxa"/>
            <w:left w:w="108" w:type="dxa"/>
            <w:bottom w:w="0" w:type="dxa"/>
            <w:right w:w="108" w:type="dxa"/>
          </w:tblCellMar>
        </w:tblPrEx>
        <w:trPr>
          <w:cantSplit/>
          <w:trHeight w:val="1244" w:hRule="atLeast"/>
        </w:trPr>
        <w:tc>
          <w:tcPr>
            <w:tcW w:w="393" w:type="pct"/>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0"/>
                <w:szCs w:val="20"/>
                <w:highlight w:val="yellow"/>
              </w:rPr>
            </w:pPr>
          </w:p>
        </w:tc>
        <w:tc>
          <w:tcPr>
            <w:tcW w:w="394" w:type="pct"/>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0"/>
                <w:szCs w:val="20"/>
                <w:highlight w:val="none"/>
              </w:rPr>
            </w:pPr>
          </w:p>
        </w:tc>
        <w:tc>
          <w:tcPr>
            <w:tcW w:w="358" w:type="pct"/>
            <w:tcBorders>
              <w:top w:val="nil"/>
              <w:left w:val="nil"/>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指标2</w:t>
            </w:r>
          </w:p>
        </w:tc>
        <w:tc>
          <w:tcPr>
            <w:tcW w:w="358" w:type="pct"/>
            <w:tcBorders>
              <w:top w:val="nil"/>
              <w:left w:val="nil"/>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满意度指标</w:t>
            </w:r>
          </w:p>
          <w:p>
            <w:pPr>
              <w:widowControl/>
              <w:jc w:val="center"/>
              <w:rPr>
                <w:rFonts w:hint="eastAsia" w:ascii="宋体" w:hAnsi="宋体" w:cs="宋体"/>
                <w:color w:val="000000"/>
                <w:kern w:val="0"/>
                <w:sz w:val="20"/>
                <w:szCs w:val="20"/>
                <w:highlight w:val="none"/>
              </w:rPr>
            </w:pPr>
          </w:p>
        </w:tc>
        <w:tc>
          <w:tcPr>
            <w:tcW w:w="706" w:type="pct"/>
            <w:tcBorders>
              <w:top w:val="nil"/>
              <w:left w:val="nil"/>
              <w:right w:val="single" w:color="auto" w:sz="4" w:space="0"/>
            </w:tcBorders>
            <w:noWrap w:val="0"/>
            <w:vAlign w:val="center"/>
          </w:tcPr>
          <w:p>
            <w:pPr>
              <w:widowControl/>
              <w:jc w:val="both"/>
              <w:rPr>
                <w:rFonts w:hint="eastAsia" w:ascii="宋体" w:hAnsi="宋体" w:cs="宋体"/>
                <w:color w:val="000000"/>
                <w:kern w:val="0"/>
                <w:sz w:val="20"/>
                <w:szCs w:val="20"/>
                <w:highlight w:val="none"/>
              </w:rPr>
            </w:pPr>
            <w:r>
              <w:rPr>
                <w:rFonts w:hint="eastAsia" w:ascii="宋体" w:hAnsi="宋体" w:eastAsia="宋体" w:cs="宋体"/>
                <w:color w:val="000000"/>
                <w:kern w:val="0"/>
                <w:sz w:val="18"/>
                <w:szCs w:val="18"/>
                <w:highlight w:val="none"/>
                <w:lang w:val="en-US" w:eastAsia="zh-CN"/>
              </w:rPr>
              <w:t>提升群众对检察工作满意度。</w:t>
            </w:r>
          </w:p>
        </w:tc>
        <w:tc>
          <w:tcPr>
            <w:tcW w:w="244" w:type="pct"/>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15</w:t>
            </w:r>
          </w:p>
        </w:tc>
        <w:tc>
          <w:tcPr>
            <w:tcW w:w="303" w:type="pct"/>
            <w:tcBorders>
              <w:top w:val="nil"/>
              <w:left w:val="nil"/>
              <w:bottom w:val="single" w:color="auto" w:sz="4" w:space="0"/>
              <w:right w:val="nil"/>
            </w:tcBorders>
            <w:noWrap/>
            <w:vAlign w:val="center"/>
          </w:tcPr>
          <w:p>
            <w:pPr>
              <w:widowControl/>
              <w:jc w:val="center"/>
              <w:rPr>
                <w:rFonts w:hint="default" w:ascii="宋体" w:hAnsi="宋体" w:cs="宋体"/>
                <w:color w:val="000000"/>
                <w:kern w:val="0"/>
                <w:sz w:val="20"/>
                <w:szCs w:val="20"/>
                <w:highlight w:val="none"/>
                <w:lang w:val="en-US"/>
              </w:rPr>
            </w:pPr>
            <w:r>
              <w:rPr>
                <w:rFonts w:hint="eastAsia" w:ascii="宋体" w:hAnsi="宋体" w:cs="宋体"/>
                <w:color w:val="000000"/>
                <w:kern w:val="0"/>
                <w:sz w:val="20"/>
                <w:szCs w:val="20"/>
                <w:highlight w:val="none"/>
                <w:lang w:val="en-US" w:eastAsia="zh-CN"/>
              </w:rPr>
              <w:t>13</w:t>
            </w:r>
          </w:p>
        </w:tc>
        <w:tc>
          <w:tcPr>
            <w:tcW w:w="970" w:type="pct"/>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highlight w:val="none"/>
              </w:rPr>
            </w:pPr>
          </w:p>
        </w:tc>
        <w:tc>
          <w:tcPr>
            <w:tcW w:w="1270" w:type="pct"/>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highlight w:val="none"/>
              </w:rPr>
            </w:pPr>
          </w:p>
        </w:tc>
      </w:tr>
      <w:tr>
        <w:tblPrEx>
          <w:tblCellMar>
            <w:top w:w="0" w:type="dxa"/>
            <w:left w:w="108" w:type="dxa"/>
            <w:bottom w:w="0" w:type="dxa"/>
            <w:right w:w="108" w:type="dxa"/>
          </w:tblCellMar>
        </w:tblPrEx>
        <w:trPr>
          <w:cantSplit/>
          <w:trHeight w:val="487" w:hRule="atLeast"/>
        </w:trPr>
        <w:tc>
          <w:tcPr>
            <w:tcW w:w="5000" w:type="pct"/>
            <w:gridSpan w:val="9"/>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三</w:t>
            </w:r>
            <w:r>
              <w:rPr>
                <w:rFonts w:ascii="宋体" w:hAnsi="宋体" w:cs="宋体"/>
                <w:color w:val="000000"/>
                <w:kern w:val="0"/>
                <w:sz w:val="18"/>
                <w:szCs w:val="18"/>
                <w:highlight w:val="none"/>
              </w:rPr>
              <w:t>、</w:t>
            </w:r>
            <w:r>
              <w:rPr>
                <w:rFonts w:hint="eastAsia" w:ascii="宋体" w:hAnsi="宋体" w:cs="宋体"/>
                <w:color w:val="000000"/>
                <w:kern w:val="0"/>
                <w:sz w:val="20"/>
                <w:szCs w:val="20"/>
                <w:highlight w:val="none"/>
              </w:rPr>
              <w:t>预算管理情况（20分）</w:t>
            </w:r>
          </w:p>
        </w:tc>
      </w:tr>
      <w:tr>
        <w:tblPrEx>
          <w:tblCellMar>
            <w:top w:w="0" w:type="dxa"/>
            <w:left w:w="108" w:type="dxa"/>
            <w:bottom w:w="0" w:type="dxa"/>
            <w:right w:w="108" w:type="dxa"/>
          </w:tblCellMar>
        </w:tblPrEx>
        <w:trPr>
          <w:cantSplit/>
          <w:trHeight w:val="702" w:hRule="atLeast"/>
        </w:trPr>
        <w:tc>
          <w:tcPr>
            <w:tcW w:w="393"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一</w:t>
            </w:r>
            <w:r>
              <w:rPr>
                <w:rFonts w:ascii="宋体" w:hAnsi="宋体" w:cs="宋体"/>
                <w:color w:val="000000"/>
                <w:kern w:val="0"/>
                <w:sz w:val="20"/>
                <w:szCs w:val="20"/>
                <w:highlight w:val="none"/>
              </w:rPr>
              <w:t>级指标</w:t>
            </w:r>
          </w:p>
        </w:tc>
        <w:tc>
          <w:tcPr>
            <w:tcW w:w="394"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二</w:t>
            </w:r>
            <w:r>
              <w:rPr>
                <w:rFonts w:ascii="宋体" w:hAnsi="宋体" w:cs="宋体"/>
                <w:color w:val="000000"/>
                <w:kern w:val="0"/>
                <w:sz w:val="20"/>
                <w:szCs w:val="20"/>
                <w:highlight w:val="none"/>
              </w:rPr>
              <w:t>级指标</w:t>
            </w:r>
          </w:p>
        </w:tc>
        <w:tc>
          <w:tcPr>
            <w:tcW w:w="358"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三</w:t>
            </w:r>
            <w:r>
              <w:rPr>
                <w:rFonts w:ascii="宋体" w:hAnsi="宋体" w:cs="宋体"/>
                <w:color w:val="000000"/>
                <w:kern w:val="0"/>
                <w:sz w:val="20"/>
                <w:szCs w:val="20"/>
                <w:highlight w:val="none"/>
              </w:rPr>
              <w:t>级指标</w:t>
            </w:r>
          </w:p>
        </w:tc>
        <w:tc>
          <w:tcPr>
            <w:tcW w:w="358"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指标</w:t>
            </w:r>
            <w:r>
              <w:rPr>
                <w:rFonts w:ascii="宋体" w:hAnsi="宋体" w:cs="宋体"/>
                <w:color w:val="000000"/>
                <w:kern w:val="0"/>
                <w:sz w:val="20"/>
                <w:szCs w:val="20"/>
                <w:highlight w:val="none"/>
              </w:rPr>
              <w:t>值</w:t>
            </w:r>
          </w:p>
        </w:tc>
        <w:tc>
          <w:tcPr>
            <w:tcW w:w="706"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完成</w:t>
            </w:r>
            <w:r>
              <w:rPr>
                <w:rFonts w:ascii="宋体" w:hAnsi="宋体" w:cs="宋体"/>
                <w:color w:val="000000"/>
                <w:kern w:val="0"/>
                <w:sz w:val="20"/>
                <w:szCs w:val="20"/>
                <w:highlight w:val="none"/>
              </w:rPr>
              <w:t>值</w:t>
            </w:r>
          </w:p>
        </w:tc>
        <w:tc>
          <w:tcPr>
            <w:tcW w:w="244" w:type="pct"/>
            <w:tcBorders>
              <w:top w:val="single" w:color="auto" w:sz="4" w:space="0"/>
              <w:left w:val="nil"/>
              <w:bottom w:val="single" w:color="auto" w:sz="4" w:space="0"/>
              <w:right w:val="single" w:color="auto" w:sz="4" w:space="0"/>
            </w:tcBorders>
            <w:noWrap/>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分</w:t>
            </w:r>
            <w:r>
              <w:rPr>
                <w:rFonts w:ascii="宋体" w:hAnsi="宋体" w:cs="宋体"/>
                <w:color w:val="000000"/>
                <w:kern w:val="0"/>
                <w:sz w:val="20"/>
                <w:szCs w:val="20"/>
                <w:highlight w:val="none"/>
              </w:rPr>
              <w:t>值</w:t>
            </w:r>
          </w:p>
        </w:tc>
        <w:tc>
          <w:tcPr>
            <w:tcW w:w="303" w:type="pct"/>
            <w:tcBorders>
              <w:top w:val="single" w:color="auto" w:sz="4" w:space="0"/>
              <w:left w:val="nil"/>
              <w:bottom w:val="single" w:color="auto" w:sz="4" w:space="0"/>
              <w:right w:val="nil"/>
            </w:tcBorders>
            <w:noWrap/>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得</w:t>
            </w:r>
            <w:r>
              <w:rPr>
                <w:rFonts w:ascii="宋体" w:hAnsi="宋体" w:cs="宋体"/>
                <w:color w:val="000000"/>
                <w:kern w:val="0"/>
                <w:sz w:val="20"/>
                <w:szCs w:val="20"/>
                <w:highlight w:val="none"/>
              </w:rPr>
              <w:t>分</w:t>
            </w:r>
          </w:p>
        </w:tc>
        <w:tc>
          <w:tcPr>
            <w:tcW w:w="970"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b/>
                <w:bCs/>
                <w:color w:val="000000"/>
                <w:kern w:val="0"/>
                <w:sz w:val="18"/>
                <w:szCs w:val="18"/>
                <w:highlight w:val="none"/>
              </w:rPr>
            </w:pPr>
            <w:r>
              <w:rPr>
                <w:rFonts w:hint="eastAsia" w:ascii="宋体" w:hAnsi="宋体" w:cs="宋体"/>
                <w:bCs/>
                <w:color w:val="000000"/>
                <w:kern w:val="0"/>
                <w:sz w:val="18"/>
                <w:szCs w:val="18"/>
                <w:highlight w:val="none"/>
              </w:rPr>
              <w:t>指标</w:t>
            </w:r>
            <w:r>
              <w:rPr>
                <w:rFonts w:ascii="宋体" w:hAnsi="宋体" w:cs="宋体"/>
                <w:bCs/>
                <w:color w:val="000000"/>
                <w:kern w:val="0"/>
                <w:sz w:val="18"/>
                <w:szCs w:val="18"/>
                <w:highlight w:val="none"/>
              </w:rPr>
              <w:t>解释</w:t>
            </w:r>
          </w:p>
        </w:tc>
        <w:tc>
          <w:tcPr>
            <w:tcW w:w="1270"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评</w:t>
            </w:r>
            <w:r>
              <w:rPr>
                <w:rFonts w:ascii="宋体" w:hAnsi="宋体" w:cs="宋体"/>
                <w:color w:val="000000"/>
                <w:kern w:val="0"/>
                <w:sz w:val="18"/>
                <w:szCs w:val="18"/>
                <w:highlight w:val="none"/>
              </w:rPr>
              <w:t>分标准</w:t>
            </w:r>
          </w:p>
        </w:tc>
      </w:tr>
      <w:tr>
        <w:tblPrEx>
          <w:tblCellMar>
            <w:top w:w="0" w:type="dxa"/>
            <w:left w:w="108" w:type="dxa"/>
            <w:bottom w:w="0" w:type="dxa"/>
            <w:right w:w="108" w:type="dxa"/>
          </w:tblCellMar>
        </w:tblPrEx>
        <w:trPr>
          <w:cantSplit/>
          <w:trHeight w:val="1230" w:hRule="atLeast"/>
        </w:trPr>
        <w:tc>
          <w:tcPr>
            <w:tcW w:w="393"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预算管理情况（20）</w:t>
            </w:r>
          </w:p>
        </w:tc>
        <w:tc>
          <w:tcPr>
            <w:tcW w:w="394"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财务管理（4）</w:t>
            </w:r>
          </w:p>
        </w:tc>
        <w:tc>
          <w:tcPr>
            <w:tcW w:w="358"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财务管理制度健全性</w:t>
            </w:r>
          </w:p>
        </w:tc>
        <w:tc>
          <w:tcPr>
            <w:tcW w:w="358"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eastAsia="zh-CN"/>
              </w:rPr>
            </w:pPr>
            <w:r>
              <w:rPr>
                <w:rFonts w:hint="eastAsia" w:ascii="宋体" w:hAnsi="宋体" w:cs="宋体"/>
                <w:color w:val="000000"/>
                <w:kern w:val="0"/>
                <w:sz w:val="18"/>
                <w:szCs w:val="18"/>
                <w:highlight w:val="none"/>
              </w:rPr>
              <w:t>各项制度健全</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完整、合规</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会计核算制度完整、合规</w:t>
            </w:r>
          </w:p>
        </w:tc>
        <w:tc>
          <w:tcPr>
            <w:tcW w:w="706"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rPr>
            </w:pPr>
            <w:r>
              <w:rPr>
                <w:rFonts w:hint="eastAsia" w:ascii="宋体" w:hAnsi="宋体" w:cs="宋体"/>
                <w:color w:val="000000"/>
                <w:kern w:val="0"/>
                <w:sz w:val="18"/>
                <w:szCs w:val="18"/>
                <w:highlight w:val="none"/>
                <w:lang w:val="en-US" w:eastAsia="zh-CN"/>
              </w:rPr>
              <w:t>我院</w:t>
            </w:r>
            <w:r>
              <w:rPr>
                <w:rFonts w:hint="eastAsia" w:ascii="宋体" w:hAnsi="宋体" w:cs="宋体"/>
                <w:color w:val="000000"/>
                <w:kern w:val="0"/>
                <w:sz w:val="18"/>
                <w:szCs w:val="18"/>
                <w:highlight w:val="none"/>
              </w:rPr>
              <w:t>预算资金管理办法、资产管理办法等各项制度健全</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部门内部财务管理制度</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会计核算制度完整、合规</w:t>
            </w:r>
            <w:r>
              <w:rPr>
                <w:rFonts w:hint="eastAsia" w:ascii="宋体" w:hAnsi="宋体" w:cs="宋体"/>
                <w:color w:val="000000"/>
                <w:kern w:val="0"/>
                <w:sz w:val="18"/>
                <w:szCs w:val="18"/>
                <w:highlight w:val="none"/>
                <w:lang w:eastAsia="zh-CN"/>
              </w:rPr>
              <w:t>。</w:t>
            </w:r>
          </w:p>
        </w:tc>
        <w:tc>
          <w:tcPr>
            <w:tcW w:w="244" w:type="pct"/>
            <w:tcBorders>
              <w:top w:val="single" w:color="auto" w:sz="4" w:space="0"/>
              <w:left w:val="nil"/>
              <w:bottom w:val="single" w:color="auto" w:sz="4" w:space="0"/>
              <w:right w:val="single" w:color="auto" w:sz="4" w:space="0"/>
            </w:tcBorders>
            <w:noWrap/>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1</w:t>
            </w:r>
          </w:p>
        </w:tc>
        <w:tc>
          <w:tcPr>
            <w:tcW w:w="303" w:type="pct"/>
            <w:tcBorders>
              <w:top w:val="single" w:color="auto" w:sz="4" w:space="0"/>
              <w:left w:val="nil"/>
              <w:bottom w:val="single" w:color="auto" w:sz="4" w:space="0"/>
              <w:right w:val="nil"/>
            </w:tcBorders>
            <w:noWrap/>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1</w:t>
            </w:r>
            <w:r>
              <w:rPr>
                <w:rFonts w:hint="eastAsia" w:ascii="宋体" w:hAnsi="宋体" w:cs="宋体"/>
                <w:color w:val="000000"/>
                <w:kern w:val="0"/>
                <w:sz w:val="20"/>
                <w:szCs w:val="20"/>
                <w:highlight w:val="none"/>
              </w:rPr>
              <w:t>　</w:t>
            </w:r>
          </w:p>
        </w:tc>
        <w:tc>
          <w:tcPr>
            <w:tcW w:w="970" w:type="pc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b/>
                <w:bCs/>
                <w:color w:val="000000"/>
                <w:kern w:val="0"/>
                <w:sz w:val="18"/>
                <w:szCs w:val="18"/>
                <w:highlight w:val="none"/>
              </w:rPr>
              <w:t>财务管理制度健全性:</w:t>
            </w:r>
            <w:r>
              <w:rPr>
                <w:rFonts w:hint="eastAsia" w:ascii="宋体" w:hAnsi="宋体" w:cs="宋体"/>
                <w:color w:val="000000"/>
                <w:kern w:val="0"/>
                <w:sz w:val="18"/>
                <w:szCs w:val="18"/>
                <w:highlight w:val="none"/>
              </w:rPr>
              <w:t>部门（单位）为加强财务管理、规范财务行为而制定的管理制度。</w:t>
            </w:r>
          </w:p>
        </w:tc>
        <w:tc>
          <w:tcPr>
            <w:tcW w:w="1270" w:type="pct"/>
            <w:tcBorders>
              <w:top w:val="single" w:color="auto" w:sz="4" w:space="0"/>
              <w:left w:val="nil"/>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①预算资金管理办法、绩效跟踪管理办法、资产管理办法等各项制度是否健全；②部门内部财务管理制度是否完整、合规；③会计核算制度是否完整、合规。每有一项不合格扣0.5分，扣完为止。</w:t>
            </w:r>
          </w:p>
        </w:tc>
      </w:tr>
      <w:tr>
        <w:tblPrEx>
          <w:tblCellMar>
            <w:top w:w="0" w:type="dxa"/>
            <w:left w:w="108" w:type="dxa"/>
            <w:bottom w:w="0" w:type="dxa"/>
            <w:right w:w="108" w:type="dxa"/>
          </w:tblCellMar>
        </w:tblPrEx>
        <w:trPr>
          <w:cantSplit/>
          <w:trHeight w:val="2220" w:hRule="atLeast"/>
        </w:trPr>
        <w:tc>
          <w:tcPr>
            <w:tcW w:w="393" w:type="pct"/>
            <w:vMerge w:val="continue"/>
            <w:tcBorders>
              <w:top w:val="single" w:color="auto" w:sz="4" w:space="0"/>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0"/>
                <w:szCs w:val="20"/>
                <w:highlight w:val="yellow"/>
              </w:rPr>
            </w:pPr>
          </w:p>
        </w:tc>
        <w:tc>
          <w:tcPr>
            <w:tcW w:w="394"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0"/>
                <w:szCs w:val="20"/>
                <w:highlight w:val="none"/>
              </w:rPr>
            </w:pPr>
          </w:p>
        </w:tc>
        <w:tc>
          <w:tcPr>
            <w:tcW w:w="358"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资金使用合规性和安全性</w:t>
            </w:r>
          </w:p>
        </w:tc>
        <w:tc>
          <w:tcPr>
            <w:tcW w:w="358"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18"/>
                <w:szCs w:val="18"/>
                <w:highlight w:val="none"/>
                <w:lang w:val="en-US" w:eastAsia="zh-CN"/>
              </w:rPr>
              <w:t>财政</w:t>
            </w:r>
            <w:r>
              <w:rPr>
                <w:rFonts w:hint="eastAsia" w:ascii="宋体" w:hAnsi="宋体" w:cs="宋体"/>
                <w:color w:val="000000"/>
                <w:kern w:val="0"/>
                <w:sz w:val="18"/>
                <w:szCs w:val="18"/>
                <w:highlight w:val="none"/>
              </w:rPr>
              <w:t>资金</w:t>
            </w:r>
            <w:r>
              <w:rPr>
                <w:rFonts w:hint="eastAsia" w:ascii="宋体" w:hAnsi="宋体" w:cs="宋体"/>
                <w:color w:val="000000"/>
                <w:kern w:val="0"/>
                <w:sz w:val="18"/>
                <w:szCs w:val="18"/>
                <w:highlight w:val="none"/>
                <w:lang w:val="en-US" w:eastAsia="zh-CN"/>
              </w:rPr>
              <w:t>支出</w:t>
            </w:r>
            <w:r>
              <w:rPr>
                <w:rFonts w:hint="eastAsia" w:ascii="宋体" w:hAnsi="宋体" w:cs="宋体"/>
                <w:color w:val="000000"/>
                <w:kern w:val="0"/>
                <w:sz w:val="18"/>
                <w:szCs w:val="18"/>
                <w:highlight w:val="none"/>
              </w:rPr>
              <w:t>合规</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安全</w:t>
            </w:r>
          </w:p>
        </w:tc>
        <w:tc>
          <w:tcPr>
            <w:tcW w:w="706"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eastAsia="zh-CN"/>
              </w:rPr>
            </w:pPr>
            <w:r>
              <w:rPr>
                <w:rFonts w:hint="eastAsia" w:ascii="宋体" w:hAnsi="宋体" w:cs="宋体"/>
                <w:color w:val="000000"/>
                <w:kern w:val="0"/>
                <w:sz w:val="18"/>
                <w:szCs w:val="18"/>
                <w:highlight w:val="none"/>
                <w:lang w:val="en-US" w:eastAsia="zh-CN"/>
              </w:rPr>
              <w:t>我院2022年度资金支出</w:t>
            </w:r>
            <w:r>
              <w:rPr>
                <w:rFonts w:hint="eastAsia" w:ascii="宋体" w:hAnsi="宋体" w:cs="宋体"/>
                <w:color w:val="000000"/>
                <w:kern w:val="0"/>
                <w:sz w:val="18"/>
                <w:szCs w:val="18"/>
                <w:highlight w:val="none"/>
              </w:rPr>
              <w:t>符合国家财经法规和财务管理制度规定以及有关专项资金管理办法的规定</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资金的拨付审批程序和手续</w:t>
            </w:r>
            <w:r>
              <w:rPr>
                <w:rFonts w:hint="eastAsia" w:ascii="宋体" w:hAnsi="宋体" w:cs="宋体"/>
                <w:color w:val="000000"/>
                <w:kern w:val="0"/>
                <w:sz w:val="18"/>
                <w:szCs w:val="18"/>
                <w:highlight w:val="none"/>
                <w:lang w:val="en-US" w:eastAsia="zh-CN"/>
              </w:rPr>
              <w:t>齐全；各项支出均</w:t>
            </w:r>
            <w:r>
              <w:rPr>
                <w:rFonts w:hint="eastAsia" w:ascii="宋体" w:hAnsi="宋体" w:cs="宋体"/>
                <w:color w:val="000000"/>
                <w:kern w:val="0"/>
                <w:sz w:val="18"/>
                <w:szCs w:val="18"/>
                <w:highlight w:val="none"/>
              </w:rPr>
              <w:t>符合部门预算批复的用途</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lang w:val="en-US" w:eastAsia="zh-CN"/>
              </w:rPr>
              <w:t>不</w:t>
            </w:r>
            <w:r>
              <w:rPr>
                <w:rFonts w:hint="eastAsia" w:ascii="宋体" w:hAnsi="宋体" w:cs="宋体"/>
                <w:color w:val="000000"/>
                <w:kern w:val="0"/>
                <w:sz w:val="18"/>
                <w:szCs w:val="18"/>
                <w:highlight w:val="none"/>
              </w:rPr>
              <w:t>存在截留、挤占、挪用情况</w:t>
            </w:r>
            <w:r>
              <w:rPr>
                <w:rFonts w:hint="eastAsia" w:ascii="宋体" w:hAnsi="宋体" w:cs="宋体"/>
                <w:color w:val="000000"/>
                <w:kern w:val="0"/>
                <w:sz w:val="18"/>
                <w:szCs w:val="18"/>
                <w:highlight w:val="none"/>
                <w:lang w:eastAsia="zh-CN"/>
              </w:rPr>
              <w:t>。</w:t>
            </w:r>
          </w:p>
        </w:tc>
        <w:tc>
          <w:tcPr>
            <w:tcW w:w="244" w:type="pct"/>
            <w:tcBorders>
              <w:top w:val="single" w:color="auto" w:sz="4" w:space="0"/>
              <w:left w:val="nil"/>
              <w:bottom w:val="single" w:color="auto" w:sz="4" w:space="0"/>
              <w:right w:val="single" w:color="auto" w:sz="4" w:space="0"/>
            </w:tcBorders>
            <w:noWrap/>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2</w:t>
            </w:r>
          </w:p>
        </w:tc>
        <w:tc>
          <w:tcPr>
            <w:tcW w:w="303" w:type="pct"/>
            <w:tcBorders>
              <w:top w:val="single" w:color="auto" w:sz="4" w:space="0"/>
              <w:left w:val="nil"/>
              <w:bottom w:val="single" w:color="auto" w:sz="4" w:space="0"/>
              <w:right w:val="nil"/>
            </w:tcBorders>
            <w:noWrap/>
            <w:vAlign w:val="center"/>
          </w:tcPr>
          <w:p>
            <w:pPr>
              <w:widowControl/>
              <w:jc w:val="center"/>
              <w:rPr>
                <w:rFonts w:hint="eastAsia"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2</w:t>
            </w:r>
          </w:p>
        </w:tc>
        <w:tc>
          <w:tcPr>
            <w:tcW w:w="970" w:type="pc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b/>
                <w:bCs/>
                <w:color w:val="000000"/>
                <w:kern w:val="0"/>
                <w:sz w:val="18"/>
                <w:szCs w:val="18"/>
                <w:highlight w:val="none"/>
              </w:rPr>
              <w:t>资金使用合规性和安全性:</w:t>
            </w:r>
            <w:r>
              <w:rPr>
                <w:rFonts w:hint="eastAsia" w:ascii="宋体" w:hAnsi="宋体" w:cs="宋体"/>
                <w:color w:val="000000"/>
                <w:kern w:val="0"/>
                <w:sz w:val="18"/>
                <w:szCs w:val="18"/>
                <w:highlight w:val="none"/>
              </w:rPr>
              <w:t>部门（单位）使用预算资金是否符合相关的预算财务管理制度的规定，是否符合相关规定的开支范围，用以反映考核部门（单位）预算资金的规范运行和安全运行情况。</w:t>
            </w:r>
          </w:p>
        </w:tc>
        <w:tc>
          <w:tcPr>
            <w:tcW w:w="1270" w:type="pct"/>
            <w:tcBorders>
              <w:top w:val="single" w:color="auto" w:sz="4" w:space="0"/>
              <w:left w:val="nil"/>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①是否符合国家财经法规和财务管理制度规定以及有关专项资金管理办法的规定；②资金的拨付是否有完整的审批程序和手续；③项目的重大开支是否经过评估论证；④是否符合部门预算批复的用途；⑤是否存在截留、挤占、挪用情况；⑥资金使用是否符合政府采购的程序和流程；⑦资金使用是否符合公务卡结算相关制度和规定。每有一项不合格扣0.5分，扣完为止。</w:t>
            </w:r>
          </w:p>
        </w:tc>
      </w:tr>
      <w:tr>
        <w:tblPrEx>
          <w:tblCellMar>
            <w:top w:w="0" w:type="dxa"/>
            <w:left w:w="108" w:type="dxa"/>
            <w:bottom w:w="0" w:type="dxa"/>
            <w:right w:w="108" w:type="dxa"/>
          </w:tblCellMar>
        </w:tblPrEx>
        <w:trPr>
          <w:cantSplit/>
          <w:trHeight w:val="410" w:hRule="atLeast"/>
        </w:trPr>
        <w:tc>
          <w:tcPr>
            <w:tcW w:w="393" w:type="pct"/>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0"/>
                <w:szCs w:val="20"/>
                <w:highlight w:val="yellow"/>
              </w:rPr>
            </w:pPr>
          </w:p>
        </w:tc>
        <w:tc>
          <w:tcPr>
            <w:tcW w:w="394" w:type="pct"/>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0"/>
                <w:szCs w:val="20"/>
                <w:highlight w:val="none"/>
              </w:rPr>
            </w:pPr>
          </w:p>
        </w:tc>
        <w:tc>
          <w:tcPr>
            <w:tcW w:w="358" w:type="pct"/>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会计基础信息完善性</w:t>
            </w:r>
          </w:p>
        </w:tc>
        <w:tc>
          <w:tcPr>
            <w:tcW w:w="358" w:type="pct"/>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18"/>
                <w:szCs w:val="18"/>
                <w:highlight w:val="none"/>
              </w:rPr>
              <w:t>会计基础信息完善</w:t>
            </w:r>
            <w:r>
              <w:rPr>
                <w:rFonts w:hint="eastAsia" w:ascii="宋体" w:hAnsi="宋体" w:cs="宋体"/>
                <w:color w:val="000000"/>
                <w:kern w:val="0"/>
                <w:sz w:val="18"/>
                <w:szCs w:val="18"/>
                <w:highlight w:val="none"/>
                <w:lang w:val="en-US" w:eastAsia="zh-CN"/>
              </w:rPr>
              <w:t>程度</w:t>
            </w:r>
            <w:r>
              <w:rPr>
                <w:rFonts w:hint="eastAsia" w:ascii="宋体" w:hAnsi="宋体" w:cs="宋体"/>
                <w:color w:val="000000"/>
                <w:kern w:val="0"/>
                <w:sz w:val="18"/>
                <w:szCs w:val="18"/>
                <w:highlight w:val="none"/>
              </w:rPr>
              <w:t>　</w:t>
            </w:r>
          </w:p>
        </w:tc>
        <w:tc>
          <w:tcPr>
            <w:tcW w:w="706" w:type="pct"/>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18"/>
                <w:szCs w:val="18"/>
                <w:highlight w:val="none"/>
              </w:rPr>
              <w:t>基础数据信息和会计信息资料真实</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lang w:val="en-US" w:eastAsia="zh-CN"/>
              </w:rPr>
              <w:t>完整、准确</w:t>
            </w:r>
            <w:r>
              <w:rPr>
                <w:rFonts w:hint="eastAsia" w:ascii="宋体" w:hAnsi="宋体" w:cs="宋体"/>
                <w:color w:val="000000"/>
                <w:kern w:val="0"/>
                <w:sz w:val="20"/>
                <w:szCs w:val="20"/>
                <w:highlight w:val="none"/>
              </w:rPr>
              <w:t>　</w:t>
            </w:r>
          </w:p>
        </w:tc>
        <w:tc>
          <w:tcPr>
            <w:tcW w:w="244" w:type="pct"/>
            <w:tcBorders>
              <w:top w:val="nil"/>
              <w:left w:val="nil"/>
              <w:bottom w:val="single" w:color="auto" w:sz="4" w:space="0"/>
              <w:right w:val="single" w:color="auto" w:sz="4" w:space="0"/>
            </w:tcBorders>
            <w:noWrap/>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1</w:t>
            </w:r>
          </w:p>
        </w:tc>
        <w:tc>
          <w:tcPr>
            <w:tcW w:w="303" w:type="pct"/>
            <w:tcBorders>
              <w:top w:val="nil"/>
              <w:left w:val="nil"/>
              <w:bottom w:val="single" w:color="auto" w:sz="4" w:space="0"/>
              <w:right w:val="nil"/>
            </w:tcBorders>
            <w:noWrap/>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1</w:t>
            </w:r>
            <w:r>
              <w:rPr>
                <w:rFonts w:hint="eastAsia" w:ascii="宋体" w:hAnsi="宋体" w:cs="宋体"/>
                <w:color w:val="000000"/>
                <w:kern w:val="0"/>
                <w:sz w:val="20"/>
                <w:szCs w:val="20"/>
                <w:highlight w:val="none"/>
              </w:rPr>
              <w:t>　</w:t>
            </w:r>
          </w:p>
        </w:tc>
        <w:tc>
          <w:tcPr>
            <w:tcW w:w="970" w:type="pct"/>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b/>
                <w:bCs/>
                <w:color w:val="000000"/>
                <w:kern w:val="0"/>
                <w:sz w:val="18"/>
                <w:szCs w:val="18"/>
                <w:highlight w:val="none"/>
              </w:rPr>
              <w:t>会计基础信息完善性:</w:t>
            </w:r>
            <w:r>
              <w:rPr>
                <w:rFonts w:hint="eastAsia" w:ascii="宋体" w:hAnsi="宋体" w:cs="宋体"/>
                <w:color w:val="000000"/>
                <w:kern w:val="0"/>
                <w:sz w:val="18"/>
                <w:szCs w:val="18"/>
                <w:highlight w:val="none"/>
              </w:rPr>
              <w:t>部门（单位）会计基础信息情况。</w:t>
            </w:r>
          </w:p>
        </w:tc>
        <w:tc>
          <w:tcPr>
            <w:tcW w:w="1270" w:type="pct"/>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①基础数据信息和会计信息资料是否真实；②基础数据信息和会计信息资料是否完整；③基础数据信息和会计信息资料是否准确。每有一项不合格扣0.5分，扣完为止。</w:t>
            </w:r>
          </w:p>
        </w:tc>
      </w:tr>
      <w:tr>
        <w:tblPrEx>
          <w:tblCellMar>
            <w:top w:w="0" w:type="dxa"/>
            <w:left w:w="108" w:type="dxa"/>
            <w:bottom w:w="0" w:type="dxa"/>
            <w:right w:w="108" w:type="dxa"/>
          </w:tblCellMar>
        </w:tblPrEx>
        <w:trPr>
          <w:cantSplit/>
          <w:trHeight w:val="2220" w:hRule="atLeast"/>
        </w:trPr>
        <w:tc>
          <w:tcPr>
            <w:tcW w:w="393" w:type="pct"/>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0"/>
                <w:szCs w:val="20"/>
                <w:highlight w:val="yellow"/>
              </w:rPr>
            </w:pPr>
          </w:p>
        </w:tc>
        <w:tc>
          <w:tcPr>
            <w:tcW w:w="394"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资产管理（4）</w:t>
            </w:r>
          </w:p>
        </w:tc>
        <w:tc>
          <w:tcPr>
            <w:tcW w:w="358"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资产管理规范性</w:t>
            </w:r>
          </w:p>
        </w:tc>
        <w:tc>
          <w:tcPr>
            <w:tcW w:w="358" w:type="pc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18"/>
                <w:szCs w:val="18"/>
                <w:highlight w:val="none"/>
                <w:lang w:val="en-US" w:eastAsia="zh-CN"/>
              </w:rPr>
              <w:t>国有资产使用、保管、处置程序合规性</w:t>
            </w:r>
          </w:p>
        </w:tc>
        <w:tc>
          <w:tcPr>
            <w:tcW w:w="706" w:type="pc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20"/>
                <w:szCs w:val="20"/>
                <w:highlight w:val="none"/>
              </w:rPr>
            </w:pPr>
            <w:r>
              <w:rPr>
                <w:rFonts w:hint="eastAsia" w:ascii="宋体" w:hAnsi="宋体" w:cs="宋体"/>
                <w:color w:val="000000"/>
                <w:kern w:val="0"/>
                <w:sz w:val="18"/>
                <w:szCs w:val="18"/>
                <w:highlight w:val="none"/>
              </w:rPr>
              <w:t>资产管理制度</w:t>
            </w:r>
            <w:r>
              <w:rPr>
                <w:rFonts w:hint="eastAsia" w:ascii="宋体" w:hAnsi="宋体" w:cs="宋体"/>
                <w:color w:val="000000"/>
                <w:kern w:val="0"/>
                <w:sz w:val="18"/>
                <w:szCs w:val="18"/>
                <w:highlight w:val="none"/>
                <w:lang w:val="en-US" w:eastAsia="zh-CN"/>
              </w:rPr>
              <w:t>健全；各项</w:t>
            </w:r>
            <w:r>
              <w:rPr>
                <w:rFonts w:hint="eastAsia" w:ascii="宋体" w:hAnsi="宋体" w:cs="宋体"/>
                <w:color w:val="000000"/>
                <w:kern w:val="0"/>
                <w:sz w:val="18"/>
                <w:szCs w:val="18"/>
                <w:highlight w:val="none"/>
              </w:rPr>
              <w:t>资产使用规范，</w:t>
            </w:r>
            <w:r>
              <w:rPr>
                <w:rFonts w:hint="eastAsia" w:ascii="宋体" w:hAnsi="宋体" w:cs="宋体"/>
                <w:color w:val="000000"/>
                <w:kern w:val="0"/>
                <w:sz w:val="18"/>
                <w:szCs w:val="18"/>
                <w:highlight w:val="none"/>
                <w:lang w:val="en-US" w:eastAsia="zh-CN"/>
              </w:rPr>
              <w:t>不</w:t>
            </w:r>
            <w:r>
              <w:rPr>
                <w:rFonts w:hint="eastAsia" w:ascii="宋体" w:hAnsi="宋体" w:cs="宋体"/>
                <w:color w:val="000000"/>
                <w:kern w:val="0"/>
                <w:sz w:val="18"/>
                <w:szCs w:val="18"/>
                <w:highlight w:val="none"/>
              </w:rPr>
              <w:t>存在未经批准擅自出租、出借资产行为；</w:t>
            </w:r>
            <w:r>
              <w:rPr>
                <w:rFonts w:hint="eastAsia" w:ascii="宋体" w:hAnsi="宋体" w:cs="宋体"/>
                <w:color w:val="000000"/>
                <w:kern w:val="0"/>
                <w:sz w:val="18"/>
                <w:szCs w:val="18"/>
                <w:highlight w:val="none"/>
                <w:lang w:val="en-US" w:eastAsia="zh-CN"/>
              </w:rPr>
              <w:t>国有</w:t>
            </w:r>
            <w:r>
              <w:rPr>
                <w:rFonts w:hint="eastAsia" w:ascii="宋体" w:hAnsi="宋体" w:cs="宋体"/>
                <w:color w:val="000000"/>
                <w:kern w:val="0"/>
                <w:sz w:val="18"/>
                <w:szCs w:val="18"/>
                <w:highlight w:val="none"/>
              </w:rPr>
              <w:t>资产处置</w:t>
            </w:r>
            <w:r>
              <w:rPr>
                <w:rFonts w:hint="eastAsia" w:ascii="宋体" w:hAnsi="宋体" w:cs="宋体"/>
                <w:color w:val="000000"/>
                <w:kern w:val="0"/>
                <w:sz w:val="18"/>
                <w:szCs w:val="18"/>
                <w:highlight w:val="none"/>
                <w:lang w:val="en-US" w:eastAsia="zh-CN"/>
              </w:rPr>
              <w:t>均按照北京市财政相关要求办理</w:t>
            </w:r>
            <w:r>
              <w:rPr>
                <w:rFonts w:hint="eastAsia" w:ascii="宋体" w:hAnsi="宋体" w:cs="宋体"/>
                <w:color w:val="000000"/>
                <w:kern w:val="0"/>
                <w:sz w:val="18"/>
                <w:szCs w:val="18"/>
                <w:highlight w:val="none"/>
              </w:rPr>
              <w:t>，</w:t>
            </w:r>
            <w:r>
              <w:rPr>
                <w:rFonts w:hint="eastAsia" w:ascii="宋体" w:hAnsi="宋体" w:cs="宋体"/>
                <w:color w:val="000000"/>
                <w:kern w:val="0"/>
                <w:sz w:val="18"/>
                <w:szCs w:val="18"/>
                <w:highlight w:val="none"/>
                <w:lang w:val="en-US" w:eastAsia="zh-CN"/>
              </w:rPr>
              <w:t>不</w:t>
            </w:r>
            <w:r>
              <w:rPr>
                <w:rFonts w:hint="eastAsia" w:ascii="宋体" w:hAnsi="宋体" w:cs="宋体"/>
                <w:color w:val="000000"/>
                <w:kern w:val="0"/>
                <w:sz w:val="18"/>
                <w:szCs w:val="18"/>
                <w:highlight w:val="none"/>
              </w:rPr>
              <w:t>存在不按要求进行报批或资产不公开处置行为</w:t>
            </w:r>
          </w:p>
        </w:tc>
        <w:tc>
          <w:tcPr>
            <w:tcW w:w="244"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4</w:t>
            </w:r>
          </w:p>
        </w:tc>
        <w:tc>
          <w:tcPr>
            <w:tcW w:w="303"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4</w:t>
            </w:r>
          </w:p>
        </w:tc>
        <w:tc>
          <w:tcPr>
            <w:tcW w:w="970" w:type="pc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b/>
                <w:bCs/>
                <w:color w:val="000000"/>
                <w:kern w:val="0"/>
                <w:sz w:val="18"/>
                <w:szCs w:val="18"/>
                <w:highlight w:val="none"/>
              </w:rPr>
              <w:t>资产管理规范性:</w:t>
            </w:r>
            <w:r>
              <w:rPr>
                <w:rFonts w:hint="eastAsia" w:ascii="宋体" w:hAnsi="宋体" w:cs="宋体"/>
                <w:color w:val="000000"/>
                <w:kern w:val="0"/>
                <w:sz w:val="18"/>
                <w:szCs w:val="18"/>
                <w:highlight w:val="none"/>
              </w:rPr>
              <w:t>部门（单位）的资产是否保持安全完整，资产配置是否合理，资产使用和资产处理是否规范，用以反映和考核部门（单位）资产管理的整体水平。</w:t>
            </w:r>
          </w:p>
        </w:tc>
        <w:tc>
          <w:tcPr>
            <w:tcW w:w="1270" w:type="pc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①对外投资行为是否经审批，是否存在投资亏损；②是否有因管理不当发生严重资产损失和丢失情况；③是否存在超标准配置资产；④资产使用是否规范，是否存在未经批准擅自出租、出借资产行为；⑤资产处置是否规范，是否存在不按要求进行报批或资产不公开处置行为；⑥其它资产管理制度办法执行情况。每有一项不合格扣0.8分，扣完为止。</w:t>
            </w:r>
          </w:p>
        </w:tc>
      </w:tr>
      <w:tr>
        <w:tblPrEx>
          <w:tblCellMar>
            <w:top w:w="0" w:type="dxa"/>
            <w:left w:w="108" w:type="dxa"/>
            <w:bottom w:w="0" w:type="dxa"/>
            <w:right w:w="108" w:type="dxa"/>
          </w:tblCellMar>
        </w:tblPrEx>
        <w:trPr>
          <w:cantSplit/>
          <w:trHeight w:val="1210" w:hRule="atLeast"/>
        </w:trPr>
        <w:tc>
          <w:tcPr>
            <w:tcW w:w="393" w:type="pct"/>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0"/>
                <w:szCs w:val="20"/>
                <w:highlight w:val="yellow"/>
              </w:rPr>
            </w:pPr>
          </w:p>
        </w:tc>
        <w:tc>
          <w:tcPr>
            <w:tcW w:w="394"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绩效管理（4）</w:t>
            </w:r>
          </w:p>
        </w:tc>
        <w:tc>
          <w:tcPr>
            <w:tcW w:w="358"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绩效管理情况</w:t>
            </w:r>
          </w:p>
        </w:tc>
        <w:tc>
          <w:tcPr>
            <w:tcW w:w="358" w:type="pct"/>
            <w:tcBorders>
              <w:top w:val="single" w:color="auto" w:sz="4" w:space="0"/>
              <w:left w:val="nil"/>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绩效管理信息的汇总和应用情况。</w:t>
            </w:r>
          </w:p>
        </w:tc>
        <w:tc>
          <w:tcPr>
            <w:tcW w:w="706" w:type="pct"/>
            <w:tcBorders>
              <w:top w:val="single" w:color="auto" w:sz="4" w:space="0"/>
              <w:left w:val="nil"/>
              <w:bottom w:val="single" w:color="auto" w:sz="4" w:space="0"/>
              <w:right w:val="single" w:color="auto" w:sz="4" w:space="0"/>
            </w:tcBorders>
            <w:noWrap w:val="0"/>
            <w:vAlign w:val="center"/>
          </w:tcPr>
          <w:p>
            <w:pPr>
              <w:widowControl/>
              <w:jc w:val="left"/>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我院对绩效信息及时进行了汇总分析整理，但在项目执行过程中未及时对偏离绩效目标情况进行调整。</w:t>
            </w:r>
          </w:p>
        </w:tc>
        <w:tc>
          <w:tcPr>
            <w:tcW w:w="244"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4</w:t>
            </w:r>
          </w:p>
        </w:tc>
        <w:tc>
          <w:tcPr>
            <w:tcW w:w="303" w:type="pct"/>
            <w:tcBorders>
              <w:top w:val="single" w:color="auto" w:sz="4" w:space="0"/>
              <w:left w:val="nil"/>
              <w:bottom w:val="single" w:color="auto" w:sz="4" w:space="0"/>
              <w:right w:val="nil"/>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2</w:t>
            </w:r>
          </w:p>
        </w:tc>
        <w:tc>
          <w:tcPr>
            <w:tcW w:w="970" w:type="pc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b/>
                <w:bCs/>
                <w:color w:val="000000"/>
                <w:kern w:val="0"/>
                <w:sz w:val="18"/>
                <w:szCs w:val="18"/>
                <w:highlight w:val="none"/>
              </w:rPr>
              <w:t>绩效管理情况:</w:t>
            </w:r>
            <w:r>
              <w:rPr>
                <w:rFonts w:hint="eastAsia" w:ascii="宋体" w:hAnsi="宋体" w:cs="宋体"/>
                <w:color w:val="000000"/>
                <w:kern w:val="0"/>
                <w:sz w:val="18"/>
                <w:szCs w:val="18"/>
                <w:highlight w:val="none"/>
              </w:rPr>
              <w:t>考核部门（单位）在绩效管理信息的汇总和应用情况。</w:t>
            </w:r>
          </w:p>
        </w:tc>
        <w:tc>
          <w:tcPr>
            <w:tcW w:w="1270" w:type="pct"/>
            <w:tcBorders>
              <w:top w:val="single" w:color="auto" w:sz="4" w:space="0"/>
              <w:left w:val="nil"/>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①部门（单位）是否及时对绩效信息进行汇总分析整理；②部门（单位）是否对绩效目标偏离情况及时进行矫正。每有一项不合格扣2分。</w:t>
            </w:r>
          </w:p>
        </w:tc>
      </w:tr>
      <w:tr>
        <w:tblPrEx>
          <w:tblCellMar>
            <w:top w:w="0" w:type="dxa"/>
            <w:left w:w="108" w:type="dxa"/>
            <w:bottom w:w="0" w:type="dxa"/>
            <w:right w:w="108" w:type="dxa"/>
          </w:tblCellMar>
        </w:tblPrEx>
        <w:trPr>
          <w:cantSplit/>
          <w:trHeight w:val="394" w:hRule="atLeast"/>
        </w:trPr>
        <w:tc>
          <w:tcPr>
            <w:tcW w:w="393" w:type="pct"/>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0"/>
                <w:szCs w:val="20"/>
                <w:highlight w:val="yellow"/>
              </w:rPr>
            </w:pPr>
          </w:p>
        </w:tc>
        <w:tc>
          <w:tcPr>
            <w:tcW w:w="394"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指标　</w:t>
            </w:r>
          </w:p>
        </w:tc>
        <w:tc>
          <w:tcPr>
            <w:tcW w:w="716" w:type="pct"/>
            <w:gridSpan w:val="2"/>
            <w:tcBorders>
              <w:top w:val="single" w:color="auto" w:sz="4" w:space="0"/>
              <w:left w:val="nil"/>
              <w:bottom w:val="single" w:color="auto" w:sz="4" w:space="0"/>
              <w:right w:val="single" w:color="000000"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20</w:t>
            </w:r>
            <w:r>
              <w:rPr>
                <w:rFonts w:hint="eastAsia" w:ascii="宋体" w:hAnsi="宋体" w:cs="宋体"/>
                <w:color w:val="000000"/>
                <w:kern w:val="0"/>
                <w:sz w:val="20"/>
                <w:szCs w:val="20"/>
                <w:highlight w:val="none"/>
                <w:lang w:val="en-US" w:eastAsia="zh-CN"/>
              </w:rPr>
              <w:t>21</w:t>
            </w:r>
            <w:r>
              <w:rPr>
                <w:rFonts w:hint="eastAsia" w:ascii="宋体" w:hAnsi="宋体" w:cs="宋体"/>
                <w:color w:val="000000"/>
                <w:kern w:val="0"/>
                <w:sz w:val="20"/>
                <w:szCs w:val="20"/>
                <w:highlight w:val="none"/>
              </w:rPr>
              <w:t>年</w:t>
            </w:r>
          </w:p>
        </w:tc>
        <w:tc>
          <w:tcPr>
            <w:tcW w:w="706"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202</w:t>
            </w:r>
            <w:r>
              <w:rPr>
                <w:rFonts w:hint="eastAsia" w:ascii="宋体" w:hAnsi="宋体" w:cs="宋体"/>
                <w:color w:val="000000"/>
                <w:kern w:val="0"/>
                <w:sz w:val="20"/>
                <w:szCs w:val="20"/>
                <w:highlight w:val="none"/>
                <w:lang w:val="en-US" w:eastAsia="zh-CN"/>
              </w:rPr>
              <w:t>2</w:t>
            </w:r>
            <w:r>
              <w:rPr>
                <w:rFonts w:hint="eastAsia" w:ascii="宋体" w:hAnsi="宋体" w:cs="宋体"/>
                <w:color w:val="000000"/>
                <w:kern w:val="0"/>
                <w:sz w:val="20"/>
                <w:szCs w:val="20"/>
                <w:highlight w:val="none"/>
              </w:rPr>
              <w:t>年</w:t>
            </w:r>
          </w:p>
        </w:tc>
        <w:tc>
          <w:tcPr>
            <w:tcW w:w="244"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分值</w:t>
            </w:r>
          </w:p>
        </w:tc>
        <w:tc>
          <w:tcPr>
            <w:tcW w:w="303" w:type="pc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得分</w:t>
            </w:r>
          </w:p>
        </w:tc>
        <w:tc>
          <w:tcPr>
            <w:tcW w:w="970"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bCs/>
                <w:color w:val="000000"/>
                <w:kern w:val="0"/>
                <w:sz w:val="18"/>
                <w:szCs w:val="18"/>
                <w:highlight w:val="none"/>
              </w:rPr>
              <w:t>指标</w:t>
            </w:r>
            <w:r>
              <w:rPr>
                <w:rFonts w:ascii="宋体" w:hAnsi="宋体" w:cs="宋体"/>
                <w:bCs/>
                <w:color w:val="000000"/>
                <w:kern w:val="0"/>
                <w:sz w:val="18"/>
                <w:szCs w:val="18"/>
                <w:highlight w:val="none"/>
              </w:rPr>
              <w:t>解释</w:t>
            </w:r>
          </w:p>
        </w:tc>
        <w:tc>
          <w:tcPr>
            <w:tcW w:w="1270" w:type="pct"/>
            <w:tcBorders>
              <w:top w:val="single" w:color="auto" w:sz="4" w:space="0"/>
              <w:left w:val="nil"/>
              <w:bottom w:val="single" w:color="auto" w:sz="4" w:space="0"/>
              <w:right w:val="single" w:color="auto" w:sz="4" w:space="0"/>
            </w:tcBorders>
            <w:noWrap w:val="0"/>
            <w:vAlign w:val="center"/>
          </w:tcPr>
          <w:p>
            <w:pPr>
              <w:widowControl/>
              <w:jc w:val="center"/>
              <w:rPr>
                <w:rFonts w:eastAsia="Times New Roman"/>
                <w:kern w:val="0"/>
                <w:sz w:val="20"/>
                <w:szCs w:val="20"/>
                <w:highlight w:val="none"/>
              </w:rPr>
            </w:pPr>
            <w:r>
              <w:rPr>
                <w:rFonts w:hint="eastAsia" w:ascii="宋体" w:hAnsi="宋体" w:cs="宋体"/>
                <w:color w:val="000000"/>
                <w:kern w:val="0"/>
                <w:sz w:val="18"/>
                <w:szCs w:val="18"/>
                <w:highlight w:val="none"/>
              </w:rPr>
              <w:t>评</w:t>
            </w:r>
            <w:r>
              <w:rPr>
                <w:rFonts w:ascii="宋体" w:hAnsi="宋体" w:cs="宋体"/>
                <w:color w:val="000000"/>
                <w:kern w:val="0"/>
                <w:sz w:val="18"/>
                <w:szCs w:val="18"/>
                <w:highlight w:val="none"/>
              </w:rPr>
              <w:t>分标准</w:t>
            </w:r>
          </w:p>
        </w:tc>
      </w:tr>
      <w:tr>
        <w:tblPrEx>
          <w:tblCellMar>
            <w:top w:w="0" w:type="dxa"/>
            <w:left w:w="108" w:type="dxa"/>
            <w:bottom w:w="0" w:type="dxa"/>
            <w:right w:w="108" w:type="dxa"/>
          </w:tblCellMar>
        </w:tblPrEx>
        <w:trPr>
          <w:cantSplit/>
          <w:trHeight w:val="1944" w:hRule="atLeast"/>
        </w:trPr>
        <w:tc>
          <w:tcPr>
            <w:tcW w:w="393" w:type="pct"/>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0"/>
                <w:szCs w:val="20"/>
                <w:highlight w:val="yellow"/>
              </w:rPr>
            </w:pPr>
          </w:p>
        </w:tc>
        <w:tc>
          <w:tcPr>
            <w:tcW w:w="394" w:type="pct"/>
            <w:tcBorders>
              <w:top w:val="nil"/>
              <w:left w:val="nil"/>
              <w:bottom w:val="single" w:color="auto" w:sz="4" w:space="0"/>
              <w:right w:val="single" w:color="auto" w:sz="4" w:space="0"/>
            </w:tcBorders>
            <w:noWrap w:val="0"/>
            <w:vAlign w:val="center"/>
          </w:tcPr>
          <w:p>
            <w:pPr>
              <w:widowControl/>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结转结余率（4）</w:t>
            </w:r>
          </w:p>
        </w:tc>
        <w:tc>
          <w:tcPr>
            <w:tcW w:w="716" w:type="pct"/>
            <w:gridSpan w:val="2"/>
            <w:tcBorders>
              <w:top w:val="single" w:color="auto" w:sz="4" w:space="0"/>
              <w:left w:val="nil"/>
              <w:bottom w:val="single" w:color="auto" w:sz="4" w:space="0"/>
              <w:right w:val="single" w:color="000000"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2.09%</w:t>
            </w:r>
          </w:p>
        </w:tc>
        <w:tc>
          <w:tcPr>
            <w:tcW w:w="706" w:type="pct"/>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2.18%</w:t>
            </w:r>
          </w:p>
        </w:tc>
        <w:tc>
          <w:tcPr>
            <w:tcW w:w="244" w:type="pct"/>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4</w:t>
            </w:r>
          </w:p>
        </w:tc>
        <w:tc>
          <w:tcPr>
            <w:tcW w:w="303" w:type="pct"/>
            <w:tcBorders>
              <w:top w:val="nil"/>
              <w:left w:val="nil"/>
              <w:bottom w:val="single" w:color="auto" w:sz="4" w:space="0"/>
              <w:right w:val="nil"/>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4</w:t>
            </w:r>
            <w:r>
              <w:rPr>
                <w:rFonts w:hint="eastAsia" w:ascii="宋体" w:hAnsi="宋体" w:cs="宋体"/>
                <w:color w:val="000000"/>
                <w:kern w:val="0"/>
                <w:sz w:val="20"/>
                <w:szCs w:val="20"/>
                <w:highlight w:val="none"/>
              </w:rPr>
              <w:t>　</w:t>
            </w:r>
          </w:p>
        </w:tc>
        <w:tc>
          <w:tcPr>
            <w:tcW w:w="970" w:type="pc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结转结余率=结转结余总额/支出预算数×100%。</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结转结余总额：部门（单位）本年度的结转资金与结余资金之和。</w:t>
            </w:r>
          </w:p>
        </w:tc>
        <w:tc>
          <w:tcPr>
            <w:tcW w:w="1270" w:type="pct"/>
            <w:tcBorders>
              <w:top w:val="single" w:color="auto" w:sz="4" w:space="0"/>
              <w:left w:val="nil"/>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部门结转结余率低于上年的不扣分；高于上年结余率，每高出1个百分点扣0.4分，扣完为止。（说明：预算调整和结转结余指标，如非预算部门主观因素导致扣分的，在评分结果征求意见环节，经与相关部门预算主管处室共同研究，可作为例外情况酌情考虑。）</w:t>
            </w:r>
          </w:p>
        </w:tc>
      </w:tr>
      <w:tr>
        <w:tblPrEx>
          <w:tblCellMar>
            <w:top w:w="0" w:type="dxa"/>
            <w:left w:w="108" w:type="dxa"/>
            <w:bottom w:w="0" w:type="dxa"/>
            <w:right w:w="108" w:type="dxa"/>
          </w:tblCellMar>
        </w:tblPrEx>
        <w:trPr>
          <w:cantSplit/>
          <w:trHeight w:val="1083" w:hRule="atLeast"/>
        </w:trPr>
        <w:tc>
          <w:tcPr>
            <w:tcW w:w="393" w:type="pct"/>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0"/>
                <w:szCs w:val="20"/>
                <w:highlight w:val="yellow"/>
              </w:rPr>
            </w:pPr>
          </w:p>
        </w:tc>
        <w:tc>
          <w:tcPr>
            <w:tcW w:w="394" w:type="pct"/>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部门预决算差异率（4）</w:t>
            </w:r>
          </w:p>
        </w:tc>
        <w:tc>
          <w:tcPr>
            <w:tcW w:w="716" w:type="pct"/>
            <w:gridSpan w:val="2"/>
            <w:tcBorders>
              <w:top w:val="single" w:color="auto" w:sz="4" w:space="0"/>
              <w:left w:val="nil"/>
              <w:bottom w:val="single" w:color="auto" w:sz="4" w:space="0"/>
              <w:right w:val="nil"/>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w:t>
            </w:r>
          </w:p>
        </w:tc>
        <w:tc>
          <w:tcPr>
            <w:tcW w:w="706" w:type="pct"/>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11.00%</w:t>
            </w:r>
          </w:p>
        </w:tc>
        <w:tc>
          <w:tcPr>
            <w:tcW w:w="244" w:type="pct"/>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4</w:t>
            </w:r>
          </w:p>
        </w:tc>
        <w:tc>
          <w:tcPr>
            <w:tcW w:w="303" w:type="pct"/>
            <w:tcBorders>
              <w:top w:val="nil"/>
              <w:left w:val="nil"/>
              <w:bottom w:val="single" w:color="auto" w:sz="4" w:space="0"/>
              <w:right w:val="nil"/>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4</w:t>
            </w:r>
            <w:r>
              <w:rPr>
                <w:rFonts w:hint="eastAsia" w:ascii="宋体" w:hAnsi="宋体" w:cs="宋体"/>
                <w:color w:val="000000"/>
                <w:kern w:val="0"/>
                <w:sz w:val="20"/>
                <w:szCs w:val="20"/>
                <w:highlight w:val="none"/>
              </w:rPr>
              <w:t>　</w:t>
            </w:r>
          </w:p>
        </w:tc>
        <w:tc>
          <w:tcPr>
            <w:tcW w:w="970" w:type="pct"/>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通过年度部门决算与年初部门预算对比，对部门的年度支出情况进行考核，衡量部门预算的约束力。</w:t>
            </w:r>
          </w:p>
        </w:tc>
        <w:tc>
          <w:tcPr>
            <w:tcW w:w="1270" w:type="pct"/>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部门预决算差异率高于市级平均差异率（28.3%）的，每高出10%（含），扣0.4分，扣完为止。</w:t>
            </w:r>
          </w:p>
        </w:tc>
      </w:tr>
      <w:tr>
        <w:tblPrEx>
          <w:tblCellMar>
            <w:top w:w="0" w:type="dxa"/>
            <w:left w:w="108" w:type="dxa"/>
            <w:bottom w:w="0" w:type="dxa"/>
            <w:right w:w="108" w:type="dxa"/>
          </w:tblCellMar>
        </w:tblPrEx>
        <w:trPr>
          <w:cantSplit/>
          <w:trHeight w:val="484" w:hRule="atLeast"/>
        </w:trPr>
        <w:tc>
          <w:tcPr>
            <w:tcW w:w="2211" w:type="pct"/>
            <w:gridSpan w:val="5"/>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合计</w:t>
            </w:r>
          </w:p>
        </w:tc>
        <w:tc>
          <w:tcPr>
            <w:tcW w:w="244" w:type="pct"/>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100</w:t>
            </w:r>
          </w:p>
        </w:tc>
        <w:tc>
          <w:tcPr>
            <w:tcW w:w="303" w:type="pct"/>
            <w:tcBorders>
              <w:top w:val="nil"/>
              <w:left w:val="nil"/>
              <w:bottom w:val="single" w:color="auto" w:sz="4" w:space="0"/>
              <w:right w:val="nil"/>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93.40</w:t>
            </w:r>
            <w:r>
              <w:rPr>
                <w:rFonts w:hint="eastAsia" w:ascii="宋体" w:hAnsi="宋体" w:cs="宋体"/>
                <w:color w:val="000000"/>
                <w:kern w:val="0"/>
                <w:sz w:val="20"/>
                <w:szCs w:val="20"/>
                <w:highlight w:val="none"/>
              </w:rPr>
              <w:t>　</w:t>
            </w:r>
          </w:p>
        </w:tc>
        <w:tc>
          <w:tcPr>
            <w:tcW w:w="2241" w:type="pct"/>
            <w:gridSpan w:val="2"/>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r>
    </w:tbl>
    <w:p>
      <w:pPr>
        <w:pStyle w:val="2"/>
        <w:rPr>
          <w:rFonts w:hint="default" w:ascii="仿宋_GB2312" w:hAnsi="宋体" w:eastAsia="仿宋_GB2312" w:cs="宋体"/>
          <w:color w:val="000000"/>
          <w:kern w:val="0"/>
          <w:sz w:val="32"/>
          <w:szCs w:val="32"/>
          <w:lang w:val="en-US" w:eastAsia="zh-CN"/>
        </w:rPr>
      </w:pPr>
    </w:p>
    <w:sectPr>
      <w:footerReference r:id="rId4" w:type="default"/>
      <w:pgSz w:w="16838" w:h="11906" w:orient="landscape"/>
      <w:pgMar w:top="1800" w:right="1440" w:bottom="1800" w:left="1440" w:header="851" w:footer="992" w:gutter="0"/>
      <w:pgNumType w:fmt="decimal" w:start="12"/>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E1B1774-8AF5-4306-8CD0-966DA53D2C96}"/>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0" w:usb1="00000000" w:usb2="00000000" w:usb3="00000000" w:csb0="00000000" w:csb1="00000000"/>
    <w:embedRegular r:id="rId2" w:fontKey="{1159AE6D-3EFC-4BF2-BBBA-4B68A4212AED}"/>
  </w:font>
  <w:font w:name="方正小标宋简体">
    <w:panose1 w:val="02000000000000000000"/>
    <w:charset w:val="86"/>
    <w:family w:val="auto"/>
    <w:pitch w:val="default"/>
    <w:sig w:usb0="00000000" w:usb1="00000000" w:usb2="00000000" w:usb3="00000000" w:csb0="00000000" w:csb1="00000000"/>
    <w:embedRegular r:id="rId3" w:fontKey="{CDCAFFE3-1575-4673-A6A2-5B36482C020A}"/>
  </w:font>
  <w:font w:name="楷体_GB2312">
    <w:panose1 w:val="02010609030101010101"/>
    <w:charset w:val="86"/>
    <w:family w:val="modern"/>
    <w:pitch w:val="default"/>
    <w:sig w:usb0="00000000" w:usb1="00000000" w:usb2="00000000" w:usb3="00000000" w:csb0="00000000" w:csb1="00000000"/>
    <w:embedRegular r:id="rId4" w:fontKey="{72839EA3-84C5-42C3-A522-924B9A3BBF84}"/>
  </w:font>
  <w:font w:name="方正黑体_GBK">
    <w:altName w:val="微软雅黑"/>
    <w:panose1 w:val="02000000000000000000"/>
    <w:charset w:val="86"/>
    <w:family w:val="auto"/>
    <w:pitch w:val="default"/>
    <w:sig w:usb0="00000000" w:usb1="00000000" w:usb2="00000000" w:usb3="00000000" w:csb0="00040000" w:csb1="00000000"/>
    <w:embedRegular r:id="rId5" w:fontKey="{82F9D248-ACF1-4B49-9036-F319FA081F4C}"/>
  </w:font>
  <w:font w:name="仿宋">
    <w:panose1 w:val="02010609060101010101"/>
    <w:charset w:val="86"/>
    <w:family w:val="auto"/>
    <w:pitch w:val="default"/>
    <w:sig w:usb0="800002BF" w:usb1="38CF7CFA" w:usb2="00000016" w:usb3="00000000" w:csb0="00040001" w:csb1="00000000"/>
    <w:embedRegular r:id="rId6" w:fontKey="{E02989C2-C123-4B6E-B7C3-D0CBECDD5EA3}"/>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jc w:val="center"/>
      <w:rPr>
        <w:sz w:val="21"/>
        <w:szCs w:val="21"/>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jc w:val="right"/>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7"/>
                      <w:jc w:val="right"/>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795759B"/>
    <w:multiLevelType w:val="singleLevel"/>
    <w:tmpl w:val="9795759B"/>
    <w:lvl w:ilvl="0" w:tentative="0">
      <w:start w:val="2"/>
      <w:numFmt w:val="chineseCounting"/>
      <w:suff w:val="nothing"/>
      <w:lvlText w:val="（%1）"/>
      <w:lvlJc w:val="left"/>
      <w:rPr>
        <w:rFonts w:hint="eastAsia"/>
      </w:rPr>
    </w:lvl>
  </w:abstractNum>
  <w:abstractNum w:abstractNumId="1">
    <w:nsid w:val="A65835EA"/>
    <w:multiLevelType w:val="singleLevel"/>
    <w:tmpl w:val="A65835EA"/>
    <w:lvl w:ilvl="0" w:tentative="0">
      <w:start w:val="2"/>
      <w:numFmt w:val="chineseCounting"/>
      <w:suff w:val="nothing"/>
      <w:lvlText w:val="（%1）"/>
      <w:lvlJc w:val="left"/>
      <w:rPr>
        <w:rFonts w:hint="eastAsia"/>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cy">
    <w15:presenceInfo w15:providerId="None" w15:userId="jc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TrueTypeFonts/>
  <w:saveSubsetFonts/>
  <w:bordersDoNotSurroundHeader w:val="0"/>
  <w:bordersDoNotSurroundFooter w:val="0"/>
  <w:revisionView w:markup="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JiZTlmNTEzZTJkODE5NjJlZTI1MmY4YzExYjY2NjEifQ=="/>
  </w:docVars>
  <w:rsids>
    <w:rsidRoot w:val="F77F09F4"/>
    <w:rsid w:val="00522A0F"/>
    <w:rsid w:val="00654958"/>
    <w:rsid w:val="029C5324"/>
    <w:rsid w:val="040612A7"/>
    <w:rsid w:val="050F7C41"/>
    <w:rsid w:val="09AB6FF0"/>
    <w:rsid w:val="09D3371F"/>
    <w:rsid w:val="09D34448"/>
    <w:rsid w:val="09E05076"/>
    <w:rsid w:val="0B9044CB"/>
    <w:rsid w:val="0BD10BC8"/>
    <w:rsid w:val="0BFE7494"/>
    <w:rsid w:val="0C970EB6"/>
    <w:rsid w:val="0CDC5FA5"/>
    <w:rsid w:val="0D1A56E1"/>
    <w:rsid w:val="0DA11C8E"/>
    <w:rsid w:val="0E1E5269"/>
    <w:rsid w:val="0EF13238"/>
    <w:rsid w:val="10DA1F09"/>
    <w:rsid w:val="11283816"/>
    <w:rsid w:val="12E601BF"/>
    <w:rsid w:val="13C44CA3"/>
    <w:rsid w:val="13D66799"/>
    <w:rsid w:val="14874B0C"/>
    <w:rsid w:val="15A81F54"/>
    <w:rsid w:val="16397FED"/>
    <w:rsid w:val="17777287"/>
    <w:rsid w:val="177C4103"/>
    <w:rsid w:val="19C10B6F"/>
    <w:rsid w:val="1A0965FD"/>
    <w:rsid w:val="1A747D1C"/>
    <w:rsid w:val="1B541017"/>
    <w:rsid w:val="1CF535D1"/>
    <w:rsid w:val="1D320E82"/>
    <w:rsid w:val="1E546BED"/>
    <w:rsid w:val="1F9C6B9D"/>
    <w:rsid w:val="200447AC"/>
    <w:rsid w:val="20B96B7B"/>
    <w:rsid w:val="21164E7E"/>
    <w:rsid w:val="2240669E"/>
    <w:rsid w:val="226A5FE8"/>
    <w:rsid w:val="246C2801"/>
    <w:rsid w:val="261852B0"/>
    <w:rsid w:val="272445CF"/>
    <w:rsid w:val="283A33CE"/>
    <w:rsid w:val="28587274"/>
    <w:rsid w:val="28CA7A11"/>
    <w:rsid w:val="2A0C1533"/>
    <w:rsid w:val="2BE4517A"/>
    <w:rsid w:val="2C5C6E56"/>
    <w:rsid w:val="2CB32D44"/>
    <w:rsid w:val="2DAF6045"/>
    <w:rsid w:val="2E327C8C"/>
    <w:rsid w:val="2EDC3F2F"/>
    <w:rsid w:val="2F544C9F"/>
    <w:rsid w:val="2F630FF8"/>
    <w:rsid w:val="30306EB7"/>
    <w:rsid w:val="318F1443"/>
    <w:rsid w:val="31FE215F"/>
    <w:rsid w:val="32B43E83"/>
    <w:rsid w:val="337F6DD1"/>
    <w:rsid w:val="339A4C4A"/>
    <w:rsid w:val="35834422"/>
    <w:rsid w:val="36230BAA"/>
    <w:rsid w:val="365F701A"/>
    <w:rsid w:val="37173543"/>
    <w:rsid w:val="376368BC"/>
    <w:rsid w:val="383A1E2B"/>
    <w:rsid w:val="387E4B3B"/>
    <w:rsid w:val="39AF198F"/>
    <w:rsid w:val="39FF0A14"/>
    <w:rsid w:val="3A585EEB"/>
    <w:rsid w:val="3AD13600"/>
    <w:rsid w:val="3BAF53F0"/>
    <w:rsid w:val="3BDB4951"/>
    <w:rsid w:val="3BEC6B92"/>
    <w:rsid w:val="3C775E39"/>
    <w:rsid w:val="3C825D15"/>
    <w:rsid w:val="3D1C4983"/>
    <w:rsid w:val="3D47778D"/>
    <w:rsid w:val="3DAB225F"/>
    <w:rsid w:val="3EC40B14"/>
    <w:rsid w:val="3EFE6FA3"/>
    <w:rsid w:val="3F1C06AA"/>
    <w:rsid w:val="3FF76880"/>
    <w:rsid w:val="3FFE3C89"/>
    <w:rsid w:val="422F3D9B"/>
    <w:rsid w:val="4234303F"/>
    <w:rsid w:val="42E462DF"/>
    <w:rsid w:val="433E1A96"/>
    <w:rsid w:val="435B528E"/>
    <w:rsid w:val="4387550A"/>
    <w:rsid w:val="43EA6025"/>
    <w:rsid w:val="44AC734B"/>
    <w:rsid w:val="45724C63"/>
    <w:rsid w:val="46E411C2"/>
    <w:rsid w:val="47AB676D"/>
    <w:rsid w:val="48287347"/>
    <w:rsid w:val="482F25AD"/>
    <w:rsid w:val="48456D36"/>
    <w:rsid w:val="495B1F97"/>
    <w:rsid w:val="49816F29"/>
    <w:rsid w:val="4A2D629B"/>
    <w:rsid w:val="4A530A99"/>
    <w:rsid w:val="4B486A0B"/>
    <w:rsid w:val="4C180061"/>
    <w:rsid w:val="4C570BDD"/>
    <w:rsid w:val="4C7E5967"/>
    <w:rsid w:val="4D023786"/>
    <w:rsid w:val="4DB84D64"/>
    <w:rsid w:val="4E660E76"/>
    <w:rsid w:val="4ED4081D"/>
    <w:rsid w:val="5061704A"/>
    <w:rsid w:val="50703A1E"/>
    <w:rsid w:val="50B27620"/>
    <w:rsid w:val="51922AAE"/>
    <w:rsid w:val="522C1A7E"/>
    <w:rsid w:val="52823AA7"/>
    <w:rsid w:val="52AF489A"/>
    <w:rsid w:val="55990927"/>
    <w:rsid w:val="5758778F"/>
    <w:rsid w:val="578C4726"/>
    <w:rsid w:val="58531E75"/>
    <w:rsid w:val="5862780F"/>
    <w:rsid w:val="591C713E"/>
    <w:rsid w:val="5A0D685F"/>
    <w:rsid w:val="5A27389C"/>
    <w:rsid w:val="5AD84130"/>
    <w:rsid w:val="5C7821AA"/>
    <w:rsid w:val="5CC50F1C"/>
    <w:rsid w:val="5D315702"/>
    <w:rsid w:val="5D3E2967"/>
    <w:rsid w:val="5E612A9E"/>
    <w:rsid w:val="5E615A3F"/>
    <w:rsid w:val="5ED8051E"/>
    <w:rsid w:val="5F245F13"/>
    <w:rsid w:val="607C66DA"/>
    <w:rsid w:val="608A77B2"/>
    <w:rsid w:val="62727FC5"/>
    <w:rsid w:val="62AE6985"/>
    <w:rsid w:val="62B80F5F"/>
    <w:rsid w:val="62D21B31"/>
    <w:rsid w:val="647C42DD"/>
    <w:rsid w:val="64874BF3"/>
    <w:rsid w:val="655A0EB6"/>
    <w:rsid w:val="66F567CF"/>
    <w:rsid w:val="67632201"/>
    <w:rsid w:val="6842726D"/>
    <w:rsid w:val="6A7F534A"/>
    <w:rsid w:val="6B405556"/>
    <w:rsid w:val="6BE06DE9"/>
    <w:rsid w:val="6BF24939"/>
    <w:rsid w:val="6D131462"/>
    <w:rsid w:val="6D2F22F7"/>
    <w:rsid w:val="6E2616BF"/>
    <w:rsid w:val="6E3D488F"/>
    <w:rsid w:val="6F286FD3"/>
    <w:rsid w:val="6F4023CE"/>
    <w:rsid w:val="713C3C71"/>
    <w:rsid w:val="71484FAD"/>
    <w:rsid w:val="71BE0C14"/>
    <w:rsid w:val="72881782"/>
    <w:rsid w:val="74922FF7"/>
    <w:rsid w:val="75663347"/>
    <w:rsid w:val="756D3991"/>
    <w:rsid w:val="75843F24"/>
    <w:rsid w:val="76DE05CB"/>
    <w:rsid w:val="76EB1019"/>
    <w:rsid w:val="77364B02"/>
    <w:rsid w:val="775D7A36"/>
    <w:rsid w:val="787D6B06"/>
    <w:rsid w:val="78D94FCB"/>
    <w:rsid w:val="79E13D7A"/>
    <w:rsid w:val="7A361C0C"/>
    <w:rsid w:val="7A6B31CB"/>
    <w:rsid w:val="7AB7FF50"/>
    <w:rsid w:val="7B3A66C0"/>
    <w:rsid w:val="7BFEB0DB"/>
    <w:rsid w:val="7CA56471"/>
    <w:rsid w:val="7D041F5F"/>
    <w:rsid w:val="7D43090B"/>
    <w:rsid w:val="7DA65393"/>
    <w:rsid w:val="7DB47ADF"/>
    <w:rsid w:val="7F88415D"/>
    <w:rsid w:val="7F8940C8"/>
    <w:rsid w:val="7FAD230A"/>
    <w:rsid w:val="CEFD3F3D"/>
    <w:rsid w:val="EA3F77F2"/>
    <w:rsid w:val="EEFE5989"/>
    <w:rsid w:val="EFCF3EAE"/>
    <w:rsid w:val="F5B764A2"/>
    <w:rsid w:val="F77F09F4"/>
    <w:rsid w:val="FFD7BF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customStyle="1" w:styleId="2">
    <w:name w:val="无间隔1"/>
    <w:qFormat/>
    <w:uiPriority w:val="1"/>
    <w:pPr>
      <w:widowControl w:val="0"/>
      <w:jc w:val="both"/>
    </w:pPr>
    <w:rPr>
      <w:rFonts w:ascii="Times New Roman" w:hAnsi="Times New Roman" w:eastAsia="宋体" w:cs="Times New Roman"/>
      <w:kern w:val="2"/>
      <w:sz w:val="21"/>
      <w:lang w:val="en-US" w:eastAsia="zh-CN" w:bidi="ar-SA"/>
    </w:rPr>
  </w:style>
  <w:style w:type="paragraph" w:styleId="4">
    <w:name w:val="annotation text"/>
    <w:basedOn w:val="1"/>
    <w:qFormat/>
    <w:uiPriority w:val="0"/>
    <w:pPr>
      <w:jc w:val="left"/>
    </w:pPr>
  </w:style>
  <w:style w:type="paragraph" w:styleId="5">
    <w:name w:val="Body Text Indent"/>
    <w:basedOn w:val="1"/>
    <w:qFormat/>
    <w:uiPriority w:val="0"/>
    <w:pPr>
      <w:spacing w:after="360"/>
      <w:ind w:firstLine="840"/>
    </w:pPr>
    <w:rPr>
      <w:rFonts w:eastAsia="仿宋_GB2312"/>
      <w:kern w:val="1"/>
      <w:sz w:val="32"/>
      <w:szCs w:val="20"/>
    </w:rPr>
  </w:style>
  <w:style w:type="paragraph" w:styleId="6">
    <w:name w:val="toc 3"/>
    <w:basedOn w:val="1"/>
    <w:next w:val="1"/>
    <w:qFormat/>
    <w:uiPriority w:val="0"/>
    <w:pPr>
      <w:ind w:left="840" w:leftChars="400"/>
    </w:pPr>
  </w:style>
  <w:style w:type="paragraph" w:styleId="7">
    <w:name w:val="footer"/>
    <w:basedOn w:val="1"/>
    <w:qFormat/>
    <w:uiPriority w:val="99"/>
    <w:pPr>
      <w:tabs>
        <w:tab w:val="center" w:pos="4153"/>
        <w:tab w:val="right" w:pos="8306"/>
      </w:tabs>
      <w:snapToGrid w:val="0"/>
      <w:jc w:val="left"/>
    </w:pPr>
    <w:rPr>
      <w:sz w:val="18"/>
      <w:szCs w:val="20"/>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qFormat/>
    <w:uiPriority w:val="0"/>
  </w:style>
  <w:style w:type="paragraph" w:styleId="10">
    <w:name w:val="toc 2"/>
    <w:basedOn w:val="1"/>
    <w:next w:val="1"/>
    <w:qFormat/>
    <w:uiPriority w:val="0"/>
    <w:pPr>
      <w:ind w:left="420" w:leftChars="200"/>
    </w:pPr>
  </w:style>
  <w:style w:type="paragraph" w:styleId="11">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2">
    <w:name w:val="Body Text First Indent 2"/>
    <w:basedOn w:val="5"/>
    <w:qFormat/>
    <w:uiPriority w:val="99"/>
    <w:pPr>
      <w:ind w:firstLine="420" w:firstLineChars="200"/>
    </w:pPr>
  </w:style>
  <w:style w:type="paragraph" w:customStyle="1" w:styleId="15">
    <w:name w:val="列出段落1"/>
    <w:basedOn w:val="1"/>
    <w:qFormat/>
    <w:uiPriority w:val="34"/>
    <w:pPr>
      <w:ind w:firstLine="420" w:firstLineChars="200"/>
    </w:pPr>
    <w:rPr>
      <w:rFonts w:ascii="Calibri" w:hAnsi="Calibri" w:cs="黑体"/>
      <w:szCs w:val="22"/>
    </w:rPr>
  </w:style>
  <w:style w:type="paragraph" w:customStyle="1" w:styleId="16">
    <w:name w:val="List Paragraph"/>
    <w:basedOn w:val="1"/>
    <w:qFormat/>
    <w:uiPriority w:val="34"/>
    <w:pPr>
      <w:ind w:firstLine="420" w:firstLineChars="200"/>
    </w:pPr>
  </w:style>
  <w:style w:type="paragraph" w:customStyle="1" w:styleId="17">
    <w:name w:val="WPSOffice手动目录 1"/>
    <w:qFormat/>
    <w:uiPriority w:val="0"/>
    <w:pPr>
      <w:ind w:leftChars="0"/>
    </w:pPr>
    <w:rPr>
      <w:rFonts w:ascii="Times New Roman" w:hAnsi="Times New Roman" w:eastAsia="宋体" w:cs="Times New Roman"/>
      <w:sz w:val="20"/>
      <w:szCs w:val="20"/>
    </w:rPr>
  </w:style>
  <w:style w:type="paragraph" w:customStyle="1" w:styleId="18">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7396</Words>
  <Characters>8032</Characters>
  <Lines>0</Lines>
  <Paragraphs>0</Paragraphs>
  <TotalTime>15</TotalTime>
  <ScaleCrop>false</ScaleCrop>
  <LinksUpToDate>false</LinksUpToDate>
  <CharactersWithSpaces>8089</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2022-03-09T19:16:00Z</dcterms:created>
  <dc:creator>user</dc:creator>
  <cp:lastModifiedBy>jcy</cp:lastModifiedBy>
  <dcterms:modified xsi:type="dcterms:W3CDTF">2023-05-19T08:11:23Z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y fmtid="{D5CDD505-2E9C-101B-9397-08002B2CF9AE}" pid="3" name="ICV">
    <vt:lpwstr>9679CF15CACB41038BBF4EA5C7035BB1</vt:lpwstr>
  </property>
</Properties>
</file>