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简体" w:eastAsia="方正小标宋简体"/>
          <w:sz w:val="36"/>
          <w:szCs w:val="36"/>
          <w:lang w:eastAsia="zh-CN"/>
        </w:rPr>
      </w:pPr>
      <w:r>
        <w:rPr>
          <w:rFonts w:hint="eastAsia" w:ascii="方正小标宋简体" w:eastAsia="方正小标宋简体"/>
          <w:sz w:val="36"/>
          <w:szCs w:val="36"/>
          <w:lang w:eastAsia="zh-CN"/>
        </w:rPr>
        <w:t>北京市门头沟区人民法院</w:t>
      </w:r>
    </w:p>
    <w:p>
      <w:pPr>
        <w:spacing w:line="560" w:lineRule="exact"/>
        <w:jc w:val="center"/>
        <w:rPr>
          <w:rFonts w:hint="eastAsia" w:ascii="方正小标宋简体" w:eastAsia="方正小标宋简体"/>
          <w:sz w:val="36"/>
          <w:szCs w:val="36"/>
        </w:rPr>
      </w:pPr>
      <w:bookmarkStart w:id="1" w:name="_GoBack"/>
      <w:r>
        <w:rPr>
          <w:rFonts w:hint="eastAsia" w:ascii="方正小标宋简体" w:eastAsia="方正小标宋简体"/>
          <w:sz w:val="36"/>
          <w:szCs w:val="36"/>
        </w:rPr>
        <w:t>整体绩效</w:t>
      </w:r>
      <w:r>
        <w:rPr>
          <w:rFonts w:hint="eastAsia" w:ascii="方正小标宋简体" w:eastAsia="方正小标宋简体"/>
          <w:sz w:val="36"/>
          <w:szCs w:val="36"/>
          <w:lang w:eastAsia="zh-CN"/>
        </w:rPr>
        <w:t>评价</w:t>
      </w:r>
      <w:r>
        <w:rPr>
          <w:rFonts w:hint="eastAsia" w:ascii="方正小标宋简体" w:eastAsia="方正小标宋简体"/>
          <w:sz w:val="36"/>
          <w:szCs w:val="36"/>
        </w:rPr>
        <w:t>报告</w:t>
      </w:r>
    </w:p>
    <w:p>
      <w:pPr>
        <w:jc w:val="center"/>
        <w:rPr>
          <w:rFonts w:ascii="仿宋_GB2312"/>
          <w:szCs w:val="30"/>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一、部门概况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一）机构设置及职责工作任务情况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北京市</w:t>
      </w:r>
      <w:r>
        <w:rPr>
          <w:rFonts w:hint="eastAsia" w:ascii="仿宋_GB2312" w:hAnsi="仿宋_GB2312" w:eastAsia="仿宋_GB2312" w:cs="仿宋_GB2312"/>
          <w:sz w:val="32"/>
          <w:szCs w:val="32"/>
        </w:rPr>
        <w:t>门头沟区人民法院主要职能是案件审判，维护法律公平正义，保障社会和谐稳定。我院财政经费主要为保证审判工作顺利开展的日常公用和项目经费及开展案件调查相关经费。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随着经费支出的绩效考评制度规范</w:t>
      </w:r>
      <w:r>
        <w:rPr>
          <w:rFonts w:hint="eastAsia" w:ascii="仿宋_GB2312" w:hAnsi="仿宋_GB2312" w:eastAsia="仿宋_GB2312" w:cs="仿宋_GB2312"/>
          <w:sz w:val="32"/>
          <w:szCs w:val="32"/>
          <w:lang w:eastAsia="zh-CN"/>
        </w:rPr>
        <w:t>化</w:t>
      </w:r>
      <w:r>
        <w:rPr>
          <w:rFonts w:hint="eastAsia" w:ascii="仿宋_GB2312" w:hAnsi="仿宋_GB2312" w:eastAsia="仿宋_GB2312" w:cs="仿宋_GB2312"/>
          <w:sz w:val="32"/>
          <w:szCs w:val="32"/>
        </w:rPr>
        <w:t>，结合我院实际工作，</w:t>
      </w:r>
      <w:r>
        <w:rPr>
          <w:rFonts w:hint="eastAsia" w:ascii="仿宋_GB2312" w:hAnsi="仿宋_GB2312" w:eastAsia="仿宋_GB2312" w:cs="仿宋_GB2312"/>
          <w:sz w:val="32"/>
          <w:szCs w:val="32"/>
          <w:lang w:eastAsia="zh-CN"/>
        </w:rPr>
        <w:t>对</w:t>
      </w:r>
      <w:r>
        <w:rPr>
          <w:rFonts w:hint="eastAsia" w:ascii="仿宋_GB2312" w:hAnsi="仿宋_GB2312" w:eastAsia="仿宋_GB2312" w:cs="仿宋_GB2312"/>
          <w:sz w:val="32"/>
          <w:szCs w:val="32"/>
        </w:rPr>
        <w:t>绩效考评，逐步</w:t>
      </w:r>
      <w:r>
        <w:rPr>
          <w:rFonts w:hint="eastAsia" w:ascii="仿宋_GB2312" w:hAnsi="仿宋_GB2312" w:eastAsia="仿宋_GB2312" w:cs="仿宋_GB2312"/>
          <w:sz w:val="32"/>
          <w:szCs w:val="32"/>
          <w:lang w:eastAsia="zh-CN"/>
        </w:rPr>
        <w:t>调整和</w:t>
      </w:r>
      <w:r>
        <w:rPr>
          <w:rFonts w:hint="eastAsia" w:ascii="仿宋_GB2312" w:hAnsi="仿宋_GB2312" w:eastAsia="仿宋_GB2312" w:cs="仿宋_GB2312"/>
          <w:sz w:val="32"/>
          <w:szCs w:val="32"/>
        </w:rPr>
        <w:t>完善。</w:t>
      </w:r>
      <w:r>
        <w:rPr>
          <w:rFonts w:hint="eastAsia" w:ascii="仿宋_GB2312" w:hAnsi="仿宋_GB2312" w:eastAsia="仿宋_GB2312" w:cs="仿宋_GB2312"/>
          <w:sz w:val="32"/>
          <w:szCs w:val="32"/>
          <w:lang w:eastAsia="zh-CN"/>
        </w:rPr>
        <w:t>我院</w:t>
      </w:r>
      <w:r>
        <w:rPr>
          <w:rFonts w:hint="eastAsia" w:ascii="仿宋_GB2312" w:hAnsi="仿宋_GB2312" w:eastAsia="仿宋_GB2312" w:cs="仿宋_GB2312"/>
          <w:sz w:val="32"/>
          <w:szCs w:val="32"/>
        </w:rPr>
        <w:t>主要的资金支出部门为综合办公室、政治部及</w:t>
      </w:r>
      <w:r>
        <w:rPr>
          <w:rFonts w:hint="eastAsia" w:ascii="仿宋_GB2312" w:hAnsi="仿宋_GB2312" w:eastAsia="仿宋_GB2312" w:cs="仿宋_GB2312"/>
          <w:sz w:val="32"/>
          <w:szCs w:val="32"/>
          <w:lang w:eastAsia="zh-CN"/>
        </w:rPr>
        <w:t>审判管理办公室</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240" w:lineRule="auto"/>
        <w:ind w:firstLine="56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1、综合办公室负责日常公用经费及日常办案经费等资金的支出管理及统筹、信息技术运维及信息化建设资金的支出统筹及绩效目标管理。</w:t>
      </w:r>
    </w:p>
    <w:p>
      <w:pPr>
        <w:keepNext w:val="0"/>
        <w:keepLines w:val="0"/>
        <w:pageBreakBefore w:val="0"/>
        <w:widowControl w:val="0"/>
        <w:kinsoku/>
        <w:wordWrap/>
        <w:overflowPunct/>
        <w:topLinePunct w:val="0"/>
        <w:autoSpaceDE/>
        <w:autoSpaceDN/>
        <w:bidi w:val="0"/>
        <w:adjustRightInd/>
        <w:snapToGrid/>
        <w:spacing w:line="240" w:lineRule="auto"/>
        <w:ind w:firstLine="56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、政治部负责全院各类培训、宣传等相关费用的统筹及绩效目标管理。</w:t>
      </w:r>
    </w:p>
    <w:p>
      <w:pPr>
        <w:keepNext w:val="0"/>
        <w:keepLines w:val="0"/>
        <w:pageBreakBefore w:val="0"/>
        <w:widowControl w:val="0"/>
        <w:kinsoku/>
        <w:wordWrap/>
        <w:overflowPunct/>
        <w:topLinePunct w:val="0"/>
        <w:autoSpaceDE/>
        <w:autoSpaceDN/>
        <w:bidi w:val="0"/>
        <w:adjustRightInd/>
        <w:snapToGrid/>
        <w:spacing w:line="240" w:lineRule="auto"/>
        <w:ind w:firstLine="56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审判管理办公室</w:t>
      </w:r>
      <w:r>
        <w:rPr>
          <w:rFonts w:hint="eastAsia" w:ascii="仿宋_GB2312" w:hAnsi="仿宋_GB2312" w:eastAsia="仿宋_GB2312" w:cs="仿宋_GB2312"/>
          <w:sz w:val="32"/>
          <w:szCs w:val="32"/>
        </w:rPr>
        <w:t>负责重点课题调研经费及法制宣传经费的统筹及绩效目标管理。</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综合办公室及监察部门负责监督全院各项资金的使用规范情况及绩效考评情况。</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部门整体绩效目标设立情况。</w:t>
      </w:r>
    </w:p>
    <w:p>
      <w:pPr>
        <w:keepNext w:val="0"/>
        <w:keepLines w:val="0"/>
        <w:pageBreakBefore w:val="0"/>
        <w:widowControl w:val="0"/>
        <w:kinsoku/>
        <w:wordWrap/>
        <w:overflowPunct/>
        <w:topLinePunct w:val="0"/>
        <w:autoSpaceDE/>
        <w:autoSpaceDN/>
        <w:bidi w:val="0"/>
        <w:adjustRightInd/>
        <w:snapToGrid/>
        <w:spacing w:line="240" w:lineRule="auto"/>
        <w:ind w:firstLine="56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2022年整体绩效目标：深入贯彻落实党的十九大和习近平新时代中国特色社会主义思想，全面依法履行审判职能，积极稳妥的落实司法改革任务，积极回应人民群众对推进法治建设、维护司法公正的期待，坚持司法为民、公正司法，努力让人民群众在每一个司法案件中都感受到公平正义。努力发挥人民法院在践行社会主义核心价值观和全面深化改革中的职能作用，为首都经济社会发展提供坚强司法保障。整体绩效目标按照要求根据实际情况分项目设立绩效指标，整体绩效目标完成良好。</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二、当年预算执行情况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auto"/>
          <w:kern w:val="0"/>
          <w:sz w:val="32"/>
          <w:szCs w:val="32"/>
          <w:highlight w:val="none"/>
        </w:rPr>
        <w:t>202</w:t>
      </w:r>
      <w:r>
        <w:rPr>
          <w:rFonts w:hint="eastAsia" w:ascii="仿宋_GB2312" w:hAnsi="仿宋_GB2312" w:eastAsia="仿宋_GB2312" w:cs="仿宋_GB2312"/>
          <w:color w:val="auto"/>
          <w:kern w:val="0"/>
          <w:sz w:val="32"/>
          <w:szCs w:val="32"/>
          <w:highlight w:val="none"/>
          <w:lang w:val="en-US" w:eastAsia="zh-CN"/>
        </w:rPr>
        <w:t>2</w:t>
      </w:r>
      <w:r>
        <w:rPr>
          <w:rFonts w:hint="eastAsia" w:ascii="仿宋_GB2312" w:hAnsi="仿宋_GB2312" w:eastAsia="仿宋_GB2312" w:cs="仿宋_GB2312"/>
          <w:color w:val="000000"/>
          <w:kern w:val="0"/>
          <w:sz w:val="32"/>
          <w:szCs w:val="32"/>
          <w:highlight w:val="none"/>
        </w:rPr>
        <w:t>年全年预算</w:t>
      </w:r>
      <w:r>
        <w:rPr>
          <w:rFonts w:hint="eastAsia" w:ascii="仿宋_GB2312" w:hAnsi="仿宋_GB2312" w:eastAsia="仿宋_GB2312" w:cs="仿宋_GB2312"/>
          <w:color w:val="000000"/>
          <w:kern w:val="0"/>
          <w:sz w:val="32"/>
          <w:szCs w:val="32"/>
          <w:highlight w:val="none"/>
          <w:lang w:eastAsia="zh-CN"/>
        </w:rPr>
        <w:t>数</w:t>
      </w:r>
      <w:r>
        <w:rPr>
          <w:rFonts w:hint="eastAsia" w:ascii="仿宋_GB2312" w:hAnsi="仿宋_GB2312" w:eastAsia="仿宋_GB2312" w:cs="仿宋_GB2312"/>
          <w:color w:val="000000"/>
          <w:kern w:val="0"/>
          <w:sz w:val="32"/>
          <w:szCs w:val="32"/>
          <w:highlight w:val="none"/>
          <w:lang w:val="en-US" w:eastAsia="zh-CN"/>
        </w:rPr>
        <w:t>11481.05</w:t>
      </w:r>
      <w:r>
        <w:rPr>
          <w:rFonts w:hint="eastAsia" w:ascii="仿宋_GB2312" w:hAnsi="仿宋_GB2312" w:eastAsia="仿宋_GB2312" w:cs="仿宋_GB2312"/>
          <w:color w:val="000000"/>
          <w:kern w:val="0"/>
          <w:sz w:val="32"/>
          <w:szCs w:val="32"/>
          <w:highlight w:val="none"/>
        </w:rPr>
        <w:t>万元，其中，基本支出预算数</w:t>
      </w:r>
      <w:r>
        <w:rPr>
          <w:rFonts w:hint="eastAsia" w:ascii="仿宋_GB2312" w:hAnsi="仿宋_GB2312" w:eastAsia="仿宋_GB2312" w:cs="仿宋_GB2312"/>
          <w:color w:val="000000"/>
          <w:kern w:val="0"/>
          <w:sz w:val="32"/>
          <w:szCs w:val="32"/>
          <w:highlight w:val="none"/>
          <w:lang w:val="en-US" w:eastAsia="zh-CN"/>
        </w:rPr>
        <w:t>9840.94</w:t>
      </w:r>
      <w:r>
        <w:rPr>
          <w:rFonts w:hint="eastAsia" w:ascii="仿宋_GB2312" w:hAnsi="仿宋_GB2312" w:eastAsia="仿宋_GB2312" w:cs="仿宋_GB2312"/>
          <w:color w:val="000000"/>
          <w:kern w:val="0"/>
          <w:sz w:val="32"/>
          <w:szCs w:val="32"/>
          <w:highlight w:val="none"/>
        </w:rPr>
        <w:t>万元，项目支出预算数</w:t>
      </w:r>
      <w:r>
        <w:rPr>
          <w:rFonts w:hint="eastAsia" w:ascii="仿宋_GB2312" w:hAnsi="仿宋_GB2312" w:eastAsia="仿宋_GB2312" w:cs="仿宋_GB2312"/>
          <w:color w:val="000000"/>
          <w:kern w:val="0"/>
          <w:sz w:val="32"/>
          <w:szCs w:val="32"/>
          <w:highlight w:val="none"/>
          <w:lang w:val="en-US" w:eastAsia="zh-CN"/>
        </w:rPr>
        <w:t>1640.11</w:t>
      </w:r>
      <w:r>
        <w:rPr>
          <w:rFonts w:hint="eastAsia" w:ascii="仿宋_GB2312" w:hAnsi="仿宋_GB2312" w:eastAsia="仿宋_GB2312" w:cs="仿宋_GB2312"/>
          <w:color w:val="000000"/>
          <w:kern w:val="0"/>
          <w:sz w:val="32"/>
          <w:szCs w:val="32"/>
          <w:highlight w:val="none"/>
        </w:rPr>
        <w:t>万元</w:t>
      </w:r>
      <w:r>
        <w:rPr>
          <w:rFonts w:hint="eastAsia" w:ascii="仿宋_GB2312" w:hAnsi="仿宋_GB2312" w:eastAsia="仿宋_GB2312" w:cs="仿宋_GB2312"/>
          <w:color w:val="000000"/>
          <w:kern w:val="0"/>
          <w:sz w:val="32"/>
          <w:szCs w:val="32"/>
          <w:highlight w:val="none"/>
          <w:lang w:eastAsia="zh-CN"/>
        </w:rPr>
        <w:t>。</w:t>
      </w:r>
      <w:r>
        <w:rPr>
          <w:rFonts w:hint="eastAsia" w:ascii="仿宋_GB2312" w:hAnsi="仿宋_GB2312" w:eastAsia="仿宋_GB2312" w:cs="仿宋_GB2312"/>
          <w:color w:val="000000"/>
          <w:kern w:val="0"/>
          <w:sz w:val="32"/>
          <w:szCs w:val="32"/>
          <w:highlight w:val="none"/>
        </w:rPr>
        <w:t>资金总体支出</w:t>
      </w:r>
      <w:r>
        <w:rPr>
          <w:rFonts w:hint="eastAsia" w:ascii="仿宋_GB2312" w:hAnsi="仿宋_GB2312" w:eastAsia="仿宋_GB2312" w:cs="仿宋_GB2312"/>
          <w:color w:val="000000"/>
          <w:kern w:val="0"/>
          <w:sz w:val="32"/>
          <w:szCs w:val="32"/>
          <w:highlight w:val="none"/>
          <w:lang w:val="en-US" w:eastAsia="zh-CN"/>
        </w:rPr>
        <w:t>10973.85</w:t>
      </w:r>
      <w:r>
        <w:rPr>
          <w:rFonts w:hint="eastAsia" w:ascii="仿宋_GB2312" w:hAnsi="仿宋_GB2312" w:eastAsia="仿宋_GB2312" w:cs="仿宋_GB2312"/>
          <w:color w:val="000000"/>
          <w:kern w:val="0"/>
          <w:sz w:val="32"/>
          <w:szCs w:val="32"/>
          <w:highlight w:val="none"/>
        </w:rPr>
        <w:t>万元，其中，基本支出</w:t>
      </w:r>
      <w:r>
        <w:rPr>
          <w:rFonts w:hint="eastAsia" w:ascii="仿宋_GB2312" w:hAnsi="仿宋_GB2312" w:eastAsia="仿宋_GB2312" w:cs="仿宋_GB2312"/>
          <w:color w:val="000000"/>
          <w:kern w:val="0"/>
          <w:sz w:val="32"/>
          <w:szCs w:val="32"/>
          <w:highlight w:val="none"/>
          <w:lang w:val="en-US" w:eastAsia="zh-CN"/>
        </w:rPr>
        <w:t>9638.26</w:t>
      </w:r>
      <w:r>
        <w:rPr>
          <w:rFonts w:hint="eastAsia" w:ascii="仿宋_GB2312" w:hAnsi="仿宋_GB2312" w:eastAsia="仿宋_GB2312" w:cs="仿宋_GB2312"/>
          <w:color w:val="000000"/>
          <w:kern w:val="0"/>
          <w:sz w:val="32"/>
          <w:szCs w:val="32"/>
          <w:highlight w:val="none"/>
        </w:rPr>
        <w:t>万元，项目支出</w:t>
      </w:r>
      <w:r>
        <w:rPr>
          <w:rFonts w:hint="eastAsia" w:ascii="仿宋_GB2312" w:hAnsi="仿宋_GB2312" w:eastAsia="仿宋_GB2312" w:cs="仿宋_GB2312"/>
          <w:color w:val="000000"/>
          <w:kern w:val="0"/>
          <w:sz w:val="32"/>
          <w:szCs w:val="32"/>
          <w:highlight w:val="none"/>
          <w:lang w:val="en-US" w:eastAsia="zh-CN"/>
        </w:rPr>
        <w:t>1335.59</w:t>
      </w:r>
      <w:r>
        <w:rPr>
          <w:rFonts w:hint="eastAsia" w:ascii="仿宋_GB2312" w:hAnsi="仿宋_GB2312" w:eastAsia="仿宋_GB2312" w:cs="仿宋_GB2312"/>
          <w:color w:val="000000"/>
          <w:kern w:val="0"/>
          <w:sz w:val="32"/>
          <w:szCs w:val="32"/>
          <w:highlight w:val="none"/>
        </w:rPr>
        <w:t>万元。预算执行率为</w:t>
      </w:r>
      <w:r>
        <w:rPr>
          <w:rFonts w:hint="eastAsia" w:ascii="仿宋_GB2312" w:hAnsi="仿宋_GB2312" w:eastAsia="仿宋_GB2312" w:cs="仿宋_GB2312"/>
          <w:color w:val="000000"/>
          <w:kern w:val="0"/>
          <w:sz w:val="32"/>
          <w:szCs w:val="32"/>
          <w:highlight w:val="none"/>
          <w:lang w:val="en-US" w:eastAsia="zh-CN"/>
        </w:rPr>
        <w:t>95.58%</w:t>
      </w:r>
      <w:r>
        <w:rPr>
          <w:rFonts w:hint="eastAsia" w:ascii="仿宋_GB2312" w:hAnsi="仿宋_GB2312" w:eastAsia="仿宋_GB2312" w:cs="仿宋_GB2312"/>
          <w:color w:val="000000"/>
          <w:kern w:val="0"/>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left="105" w:leftChars="50" w:firstLine="480" w:firstLineChars="150"/>
        <w:textAlignment w:val="auto"/>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三、整体绩效目标实现情况</w:t>
      </w:r>
    </w:p>
    <w:p>
      <w:pPr>
        <w:keepNext w:val="0"/>
        <w:keepLines w:val="0"/>
        <w:pageBreakBefore w:val="0"/>
        <w:widowControl w:val="0"/>
        <w:kinsoku/>
        <w:wordWrap/>
        <w:overflowPunct/>
        <w:topLinePunct w:val="0"/>
        <w:autoSpaceDE/>
        <w:autoSpaceDN/>
        <w:bidi w:val="0"/>
        <w:adjustRightInd/>
        <w:snapToGrid/>
        <w:spacing w:line="240" w:lineRule="auto"/>
        <w:ind w:left="105" w:leftChars="50" w:firstLine="480" w:firstLineChars="15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（一）产出完成情况分析</w:t>
      </w:r>
    </w:p>
    <w:p>
      <w:pPr>
        <w:keepNext w:val="0"/>
        <w:keepLines w:val="0"/>
        <w:pageBreakBefore w:val="0"/>
        <w:widowControl w:val="0"/>
        <w:kinsoku/>
        <w:wordWrap/>
        <w:overflowPunct/>
        <w:topLinePunct w:val="0"/>
        <w:autoSpaceDE/>
        <w:autoSpaceDN/>
        <w:bidi w:val="0"/>
        <w:adjustRightInd/>
        <w:snapToGrid/>
        <w:spacing w:line="240" w:lineRule="auto"/>
        <w:ind w:left="105" w:leftChars="50" w:firstLine="480" w:firstLineChars="15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2022年我院全面依法履行审判职能，围绕党的建设、审判质效、党风廉政、人才培养，全面统筹疫情防控和审判执行工作为辖区经济社会发展提供坚实的司法服务合保障。</w:t>
      </w:r>
    </w:p>
    <w:p>
      <w:pPr>
        <w:keepNext w:val="0"/>
        <w:keepLines w:val="0"/>
        <w:pageBreakBefore w:val="0"/>
        <w:widowControl w:val="0"/>
        <w:kinsoku/>
        <w:wordWrap/>
        <w:overflowPunct/>
        <w:topLinePunct w:val="0"/>
        <w:autoSpaceDE/>
        <w:autoSpaceDN/>
        <w:bidi w:val="0"/>
        <w:adjustRightInd/>
        <w:snapToGrid/>
        <w:spacing w:line="240" w:lineRule="auto"/>
        <w:ind w:left="105" w:leftChars="50" w:firstLine="480" w:firstLineChars="15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（二）效果实现情况分析</w:t>
      </w:r>
    </w:p>
    <w:p>
      <w:pPr>
        <w:keepNext w:val="0"/>
        <w:keepLines w:val="0"/>
        <w:pageBreakBefore w:val="0"/>
        <w:widowControl w:val="0"/>
        <w:kinsoku/>
        <w:wordWrap/>
        <w:overflowPunct/>
        <w:topLinePunct w:val="0"/>
        <w:autoSpaceDE/>
        <w:autoSpaceDN/>
        <w:bidi w:val="0"/>
        <w:adjustRightInd/>
        <w:snapToGrid/>
        <w:spacing w:line="240" w:lineRule="auto"/>
        <w:ind w:left="105" w:leftChars="50" w:firstLine="480" w:firstLineChars="150"/>
        <w:textAlignment w:val="auto"/>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2022年我院坚持党建引领，把牢法院发展正确方向，坚持服务大局，扛起服务辖区发展责任担当，坚持人民至上，厚植新时代司法为民情怀，严格公正司法确保执法办案“三个效果”统一。</w:t>
      </w:r>
    </w:p>
    <w:p>
      <w:pPr>
        <w:keepNext w:val="0"/>
        <w:keepLines w:val="0"/>
        <w:pageBreakBefore w:val="0"/>
        <w:widowControl w:val="0"/>
        <w:kinsoku/>
        <w:wordWrap/>
        <w:overflowPunct/>
        <w:topLinePunct w:val="0"/>
        <w:autoSpaceDE/>
        <w:autoSpaceDN/>
        <w:bidi w:val="0"/>
        <w:adjustRightInd/>
        <w:snapToGrid/>
        <w:spacing w:line="240" w:lineRule="auto"/>
        <w:ind w:left="105" w:leftChars="50" w:firstLine="480" w:firstLineChars="150"/>
        <w:textAlignment w:val="auto"/>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四、预算管理情况分析</w:t>
      </w:r>
    </w:p>
    <w:p>
      <w:pPr>
        <w:keepNext w:val="0"/>
        <w:keepLines w:val="0"/>
        <w:pageBreakBefore w:val="0"/>
        <w:widowControl w:val="0"/>
        <w:kinsoku/>
        <w:wordWrap/>
        <w:overflowPunct/>
        <w:topLinePunct w:val="0"/>
        <w:autoSpaceDE/>
        <w:autoSpaceDN/>
        <w:bidi w:val="0"/>
        <w:adjustRightInd/>
        <w:snapToGrid/>
        <w:spacing w:line="240" w:lineRule="auto"/>
        <w:ind w:left="105" w:leftChars="50" w:firstLine="480" w:firstLineChars="15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（一）财务管理</w:t>
      </w:r>
    </w:p>
    <w:p>
      <w:pPr>
        <w:keepNext w:val="0"/>
        <w:keepLines w:val="0"/>
        <w:pageBreakBefore w:val="0"/>
        <w:widowControl w:val="0"/>
        <w:kinsoku/>
        <w:wordWrap/>
        <w:overflowPunct/>
        <w:topLinePunct w:val="0"/>
        <w:autoSpaceDE/>
        <w:autoSpaceDN/>
        <w:bidi w:val="0"/>
        <w:adjustRightInd/>
        <w:snapToGrid/>
        <w:spacing w:line="240" w:lineRule="auto"/>
        <w:ind w:left="105" w:leftChars="50" w:firstLine="480" w:firstLineChars="150"/>
        <w:textAlignment w:val="auto"/>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highlight w:val="none"/>
          <w:lang w:val="en-US" w:eastAsia="zh-CN"/>
        </w:rPr>
        <w:t>1.我院财务管理制度、</w:t>
      </w:r>
      <w:r>
        <w:rPr>
          <w:rFonts w:hint="eastAsia" w:ascii="仿宋_GB2312" w:hAnsi="仿宋_GB2312" w:eastAsia="仿宋_GB2312" w:cs="仿宋_GB2312"/>
          <w:color w:val="000000"/>
          <w:kern w:val="0"/>
          <w:sz w:val="32"/>
          <w:szCs w:val="32"/>
          <w:lang w:eastAsia="zh-CN"/>
        </w:rPr>
        <w:t>预算资金</w:t>
      </w:r>
      <w:r>
        <w:rPr>
          <w:rFonts w:hint="eastAsia" w:ascii="仿宋_GB2312" w:hAnsi="仿宋_GB2312" w:eastAsia="仿宋_GB2312" w:cs="仿宋_GB2312"/>
          <w:color w:val="000000"/>
          <w:kern w:val="0"/>
          <w:sz w:val="32"/>
          <w:szCs w:val="32"/>
        </w:rPr>
        <w:t>管理办法</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绩效跟踪管理办法</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资产管理办法</w:t>
      </w:r>
      <w:r>
        <w:rPr>
          <w:rFonts w:hint="eastAsia" w:ascii="仿宋_GB2312" w:hAnsi="仿宋_GB2312" w:eastAsia="仿宋_GB2312" w:cs="仿宋_GB2312"/>
          <w:color w:val="000000"/>
          <w:kern w:val="0"/>
          <w:sz w:val="32"/>
          <w:szCs w:val="32"/>
          <w:lang w:eastAsia="zh-CN"/>
        </w:rPr>
        <w:t>、内部财务管理制度、会计核算制度等相关制度均有设立，但需进一步细化和健全。</w:t>
      </w:r>
    </w:p>
    <w:p>
      <w:pPr>
        <w:keepNext w:val="0"/>
        <w:keepLines w:val="0"/>
        <w:pageBreakBefore w:val="0"/>
        <w:widowControl w:val="0"/>
        <w:kinsoku/>
        <w:wordWrap/>
        <w:overflowPunct/>
        <w:topLinePunct w:val="0"/>
        <w:autoSpaceDE/>
        <w:autoSpaceDN/>
        <w:bidi w:val="0"/>
        <w:adjustRightInd/>
        <w:snapToGrid/>
        <w:spacing w:line="240" w:lineRule="auto"/>
        <w:ind w:left="105" w:leftChars="50" w:firstLine="480" w:firstLineChars="150"/>
        <w:textAlignment w:val="auto"/>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lang w:val="en-US" w:eastAsia="zh-CN"/>
        </w:rPr>
        <w:t>2.</w:t>
      </w:r>
      <w:r>
        <w:rPr>
          <w:rFonts w:hint="eastAsia" w:ascii="仿宋_GB2312" w:hAnsi="仿宋_GB2312" w:eastAsia="仿宋_GB2312" w:cs="仿宋_GB2312"/>
          <w:color w:val="000000"/>
          <w:kern w:val="0"/>
          <w:sz w:val="32"/>
          <w:szCs w:val="32"/>
        </w:rPr>
        <w:t>资金使用合规性和安全性</w:t>
      </w:r>
      <w:r>
        <w:rPr>
          <w:rFonts w:hint="eastAsia" w:ascii="仿宋_GB2312" w:hAnsi="仿宋_GB2312" w:eastAsia="仿宋_GB2312" w:cs="仿宋_GB2312"/>
          <w:color w:val="000000"/>
          <w:kern w:val="0"/>
          <w:sz w:val="32"/>
          <w:szCs w:val="32"/>
          <w:lang w:eastAsia="zh-CN"/>
        </w:rPr>
        <w:t>。我院</w:t>
      </w:r>
      <w:r>
        <w:rPr>
          <w:rFonts w:hint="eastAsia" w:ascii="仿宋_GB2312" w:hAnsi="仿宋_GB2312" w:eastAsia="仿宋_GB2312" w:cs="仿宋_GB2312"/>
          <w:color w:val="000000"/>
          <w:kern w:val="0"/>
          <w:sz w:val="32"/>
          <w:szCs w:val="32"/>
        </w:rPr>
        <w:t>资金使用</w:t>
      </w:r>
      <w:r>
        <w:rPr>
          <w:rFonts w:hint="eastAsia" w:ascii="仿宋_GB2312" w:hAnsi="仿宋_GB2312" w:eastAsia="仿宋_GB2312" w:cs="仿宋_GB2312"/>
          <w:color w:val="000000"/>
          <w:kern w:val="0"/>
          <w:sz w:val="32"/>
          <w:szCs w:val="32"/>
          <w:lang w:eastAsia="zh-CN"/>
        </w:rPr>
        <w:t>符合国家财经法规和财务管理制度，资金拨付审批程序及手续完整，按预算批复用途使用资金，资金使用符合政府采购流程和公务卡结算制度。</w:t>
      </w:r>
    </w:p>
    <w:p>
      <w:pPr>
        <w:keepNext w:val="0"/>
        <w:keepLines w:val="0"/>
        <w:pageBreakBefore w:val="0"/>
        <w:widowControl w:val="0"/>
        <w:kinsoku/>
        <w:wordWrap/>
        <w:overflowPunct/>
        <w:topLinePunct w:val="0"/>
        <w:autoSpaceDE/>
        <w:autoSpaceDN/>
        <w:bidi w:val="0"/>
        <w:adjustRightInd/>
        <w:snapToGrid/>
        <w:spacing w:line="240" w:lineRule="auto"/>
        <w:ind w:left="105" w:leftChars="50" w:firstLine="480" w:firstLineChars="150"/>
        <w:textAlignment w:val="auto"/>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rPr>
        <w:t>3.会计基础信息完</w:t>
      </w:r>
      <w:r>
        <w:rPr>
          <w:rFonts w:hint="eastAsia" w:ascii="仿宋_GB2312" w:hAnsi="仿宋_GB2312" w:eastAsia="仿宋_GB2312" w:cs="仿宋_GB2312"/>
          <w:color w:val="000000"/>
          <w:kern w:val="0"/>
          <w:sz w:val="32"/>
          <w:szCs w:val="32"/>
          <w:highlight w:val="none"/>
        </w:rPr>
        <w:t>善性</w:t>
      </w:r>
      <w:r>
        <w:rPr>
          <w:rFonts w:hint="eastAsia" w:ascii="仿宋_GB2312" w:hAnsi="仿宋_GB2312" w:eastAsia="仿宋_GB2312" w:cs="仿宋_GB2312"/>
          <w:color w:val="000000"/>
          <w:kern w:val="0"/>
          <w:sz w:val="32"/>
          <w:szCs w:val="32"/>
          <w:highlight w:val="none"/>
          <w:lang w:eastAsia="zh-CN"/>
        </w:rPr>
        <w:t>。</w:t>
      </w:r>
      <w:r>
        <w:rPr>
          <w:rFonts w:hint="eastAsia" w:ascii="仿宋_GB2312" w:hAnsi="仿宋_GB2312" w:eastAsia="仿宋_GB2312" w:cs="仿宋_GB2312"/>
          <w:color w:val="000000"/>
          <w:kern w:val="0"/>
          <w:sz w:val="32"/>
          <w:szCs w:val="32"/>
          <w:lang w:eastAsia="zh-CN"/>
        </w:rPr>
        <w:t>我院会计基础数据信息和会计信息资料真实；基础数据信息和会计信息资料完整；基础数据信息和会计信息资料准确。</w:t>
      </w:r>
    </w:p>
    <w:p>
      <w:pPr>
        <w:keepNext w:val="0"/>
        <w:keepLines w:val="0"/>
        <w:pageBreakBefore w:val="0"/>
        <w:widowControl w:val="0"/>
        <w:kinsoku/>
        <w:wordWrap/>
        <w:overflowPunct/>
        <w:topLinePunct w:val="0"/>
        <w:autoSpaceDE/>
        <w:autoSpaceDN/>
        <w:bidi w:val="0"/>
        <w:adjustRightInd/>
        <w:snapToGrid/>
        <w:spacing w:line="240" w:lineRule="auto"/>
        <w:ind w:left="105" w:leftChars="50" w:firstLine="480" w:firstLineChars="15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（二）资产管理</w:t>
      </w:r>
    </w:p>
    <w:p>
      <w:pPr>
        <w:keepNext w:val="0"/>
        <w:keepLines w:val="0"/>
        <w:pageBreakBefore w:val="0"/>
        <w:widowControl w:val="0"/>
        <w:kinsoku/>
        <w:wordWrap/>
        <w:overflowPunct/>
        <w:topLinePunct w:val="0"/>
        <w:autoSpaceDE/>
        <w:autoSpaceDN/>
        <w:bidi w:val="0"/>
        <w:adjustRightInd/>
        <w:snapToGrid/>
        <w:spacing w:line="240" w:lineRule="auto"/>
        <w:ind w:left="105" w:leftChars="50" w:firstLine="480" w:firstLineChars="150"/>
        <w:textAlignment w:val="auto"/>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lang w:eastAsia="zh-CN"/>
        </w:rPr>
        <w:t>我院资产管理安全且制度完整，资产配置合理，资产使用和资产处理规范，但尚存在资产具体使用部门对部分资产管理不规范等问题。</w:t>
      </w:r>
    </w:p>
    <w:p>
      <w:pPr>
        <w:keepNext w:val="0"/>
        <w:keepLines w:val="0"/>
        <w:pageBreakBefore w:val="0"/>
        <w:widowControl w:val="0"/>
        <w:kinsoku/>
        <w:wordWrap/>
        <w:overflowPunct/>
        <w:topLinePunct w:val="0"/>
        <w:autoSpaceDE/>
        <w:autoSpaceDN/>
        <w:bidi w:val="0"/>
        <w:adjustRightInd/>
        <w:snapToGrid/>
        <w:spacing w:line="240" w:lineRule="auto"/>
        <w:ind w:left="105" w:leftChars="50" w:firstLine="480" w:firstLineChars="15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（三）绩效管理</w:t>
      </w:r>
    </w:p>
    <w:p>
      <w:pPr>
        <w:keepNext w:val="0"/>
        <w:keepLines w:val="0"/>
        <w:pageBreakBefore w:val="0"/>
        <w:widowControl w:val="0"/>
        <w:kinsoku/>
        <w:wordWrap/>
        <w:overflowPunct/>
        <w:topLinePunct w:val="0"/>
        <w:autoSpaceDE/>
        <w:autoSpaceDN/>
        <w:bidi w:val="0"/>
        <w:adjustRightInd/>
        <w:snapToGrid/>
        <w:spacing w:line="240" w:lineRule="auto"/>
        <w:ind w:left="105" w:leftChars="50" w:firstLine="480" w:firstLineChars="150"/>
        <w:textAlignment w:val="auto"/>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lang w:eastAsia="zh-CN"/>
        </w:rPr>
        <w:t>我院对绩效信息及时汇总整理，对绩效目标偏离情况及时进行矫正。</w:t>
      </w:r>
    </w:p>
    <w:p>
      <w:pPr>
        <w:keepNext w:val="0"/>
        <w:keepLines w:val="0"/>
        <w:pageBreakBefore w:val="0"/>
        <w:widowControl w:val="0"/>
        <w:kinsoku/>
        <w:wordWrap/>
        <w:overflowPunct/>
        <w:topLinePunct w:val="0"/>
        <w:autoSpaceDE/>
        <w:autoSpaceDN/>
        <w:bidi w:val="0"/>
        <w:adjustRightInd/>
        <w:snapToGrid/>
        <w:spacing w:line="240" w:lineRule="auto"/>
        <w:ind w:left="105" w:leftChars="50" w:firstLine="480" w:firstLineChars="15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（四）结转结余率</w:t>
      </w:r>
    </w:p>
    <w:p>
      <w:pPr>
        <w:keepNext w:val="0"/>
        <w:keepLines w:val="0"/>
        <w:pageBreakBefore w:val="0"/>
        <w:widowControl w:val="0"/>
        <w:kinsoku/>
        <w:wordWrap/>
        <w:overflowPunct/>
        <w:topLinePunct w:val="0"/>
        <w:autoSpaceDE/>
        <w:autoSpaceDN/>
        <w:bidi w:val="0"/>
        <w:adjustRightInd/>
        <w:snapToGrid/>
        <w:spacing w:line="240" w:lineRule="auto"/>
        <w:ind w:left="105" w:leftChars="50" w:firstLine="480" w:firstLineChars="150"/>
        <w:textAlignment w:val="auto"/>
        <w:rPr>
          <w:rFonts w:hint="default"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2022年我院</w:t>
      </w:r>
      <w:r>
        <w:rPr>
          <w:rFonts w:hint="eastAsia" w:ascii="仿宋_GB2312" w:hAnsi="仿宋_GB2312" w:eastAsia="仿宋_GB2312" w:cs="仿宋_GB2312"/>
          <w:color w:val="000000"/>
          <w:kern w:val="0"/>
          <w:sz w:val="32"/>
          <w:szCs w:val="32"/>
          <w:lang w:eastAsia="zh-CN"/>
        </w:rPr>
        <w:t>结转结余率</w:t>
      </w:r>
      <w:r>
        <w:rPr>
          <w:rFonts w:hint="eastAsia" w:ascii="仿宋_GB2312" w:hAnsi="仿宋_GB2312" w:eastAsia="仿宋_GB2312" w:cs="仿宋_GB2312"/>
          <w:color w:val="000000"/>
          <w:kern w:val="0"/>
          <w:sz w:val="32"/>
          <w:szCs w:val="32"/>
          <w:lang w:val="en-US" w:eastAsia="zh-CN"/>
        </w:rPr>
        <w:t>4.42%，2021年结转结余率7.89%，</w:t>
      </w:r>
      <w:r>
        <w:rPr>
          <w:rFonts w:hint="eastAsia" w:ascii="仿宋_GB2312" w:hAnsi="仿宋_GB2312" w:eastAsia="仿宋_GB2312" w:cs="仿宋_GB2312"/>
          <w:color w:val="000000"/>
          <w:kern w:val="0"/>
          <w:sz w:val="32"/>
          <w:szCs w:val="32"/>
          <w:lang w:eastAsia="zh-CN"/>
        </w:rPr>
        <w:t>低于上年值。</w:t>
      </w:r>
    </w:p>
    <w:p>
      <w:pPr>
        <w:keepNext w:val="0"/>
        <w:keepLines w:val="0"/>
        <w:pageBreakBefore w:val="0"/>
        <w:widowControl w:val="0"/>
        <w:kinsoku/>
        <w:wordWrap/>
        <w:overflowPunct/>
        <w:topLinePunct w:val="0"/>
        <w:autoSpaceDE/>
        <w:autoSpaceDN/>
        <w:bidi w:val="0"/>
        <w:adjustRightInd/>
        <w:snapToGrid/>
        <w:spacing w:line="240" w:lineRule="auto"/>
        <w:ind w:left="105" w:leftChars="50" w:firstLine="480" w:firstLineChars="15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（五）部门预决算差异率</w:t>
      </w:r>
    </w:p>
    <w:p>
      <w:pPr>
        <w:keepNext w:val="0"/>
        <w:keepLines w:val="0"/>
        <w:pageBreakBefore w:val="0"/>
        <w:widowControl w:val="0"/>
        <w:kinsoku/>
        <w:wordWrap/>
        <w:overflowPunct/>
        <w:topLinePunct w:val="0"/>
        <w:autoSpaceDE/>
        <w:autoSpaceDN/>
        <w:bidi w:val="0"/>
        <w:adjustRightInd/>
        <w:snapToGrid/>
        <w:spacing w:line="240" w:lineRule="auto"/>
        <w:ind w:left="105" w:leftChars="50" w:firstLine="480" w:firstLineChars="15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color w:val="000000"/>
          <w:kern w:val="0"/>
          <w:sz w:val="32"/>
          <w:szCs w:val="32"/>
          <w:lang w:val="en-US" w:eastAsia="zh-CN"/>
        </w:rPr>
        <w:t>2022年度</w:t>
      </w:r>
      <w:r>
        <w:rPr>
          <w:rFonts w:hint="eastAsia" w:ascii="仿宋_GB2312" w:hAnsi="仿宋_GB2312" w:eastAsia="仿宋_GB2312" w:cs="仿宋_GB2312"/>
          <w:color w:val="000000"/>
          <w:kern w:val="0"/>
          <w:sz w:val="32"/>
          <w:szCs w:val="32"/>
          <w:lang w:eastAsia="zh-CN"/>
        </w:rPr>
        <w:t>部门决算与年初部门预算，经对比存在差异，预决算差异率</w:t>
      </w:r>
      <w:r>
        <w:rPr>
          <w:rFonts w:hint="eastAsia" w:ascii="仿宋_GB2312" w:hAnsi="仿宋_GB2312" w:eastAsia="仿宋_GB2312" w:cs="仿宋_GB2312"/>
          <w:color w:val="000000"/>
          <w:kern w:val="0"/>
          <w:sz w:val="32"/>
          <w:szCs w:val="32"/>
          <w:lang w:val="en-US" w:eastAsia="zh-CN"/>
        </w:rPr>
        <w:t>4.42%</w:t>
      </w:r>
      <w:r>
        <w:rPr>
          <w:rFonts w:hint="eastAsia" w:ascii="宋体" w:hAnsi="宋体" w:cs="宋体"/>
          <w:color w:val="000000"/>
          <w:kern w:val="0"/>
          <w:sz w:val="18"/>
          <w:szCs w:val="18"/>
        </w:rPr>
        <w:t>。</w:t>
      </w:r>
    </w:p>
    <w:p>
      <w:pPr>
        <w:keepNext w:val="0"/>
        <w:keepLines w:val="0"/>
        <w:pageBreakBefore w:val="0"/>
        <w:widowControl w:val="0"/>
        <w:kinsoku/>
        <w:wordWrap/>
        <w:overflowPunct/>
        <w:topLinePunct w:val="0"/>
        <w:autoSpaceDE/>
        <w:autoSpaceDN/>
        <w:bidi w:val="0"/>
        <w:adjustRightInd/>
        <w:snapToGrid/>
        <w:spacing w:line="240" w:lineRule="auto"/>
        <w:ind w:left="105" w:leftChars="50" w:firstLine="480" w:firstLineChars="15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五、总体评价结论</w:t>
      </w:r>
    </w:p>
    <w:p>
      <w:pPr>
        <w:keepNext w:val="0"/>
        <w:keepLines w:val="0"/>
        <w:pageBreakBefore w:val="0"/>
        <w:widowControl w:val="0"/>
        <w:kinsoku/>
        <w:wordWrap/>
        <w:overflowPunct/>
        <w:topLinePunct w:val="0"/>
        <w:autoSpaceDE/>
        <w:autoSpaceDN/>
        <w:bidi w:val="0"/>
        <w:adjustRightInd/>
        <w:snapToGrid/>
        <w:spacing w:line="240" w:lineRule="auto"/>
        <w:ind w:left="105" w:leftChars="50" w:firstLine="480" w:firstLineChars="15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（一）评价得分情况</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2022年度整体绩效评价得分95.7。</w:t>
      </w:r>
    </w:p>
    <w:p>
      <w:pPr>
        <w:keepNext w:val="0"/>
        <w:keepLines w:val="0"/>
        <w:pageBreakBefore w:val="0"/>
        <w:widowControl w:val="0"/>
        <w:kinsoku/>
        <w:wordWrap/>
        <w:overflowPunct/>
        <w:topLinePunct w:val="0"/>
        <w:autoSpaceDE/>
        <w:autoSpaceDN/>
        <w:bidi w:val="0"/>
        <w:adjustRightInd/>
        <w:snapToGrid/>
        <w:spacing w:line="240" w:lineRule="auto"/>
        <w:ind w:left="105" w:leftChars="50" w:firstLine="480" w:firstLineChars="15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（二）存在的问题及原因分析</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highlight w:val="none"/>
          <w:lang w:val="en-US" w:eastAsia="zh-CN"/>
        </w:rPr>
        <w:t>经部门整体自评，我院尚存在对各项目使用部门支出项目资金的督促力度不够，缺乏更加积极的态度；部分</w:t>
      </w:r>
      <w:r>
        <w:rPr>
          <w:rFonts w:hint="eastAsia" w:ascii="仿宋_GB2312" w:hAnsi="仿宋_GB2312" w:eastAsia="仿宋_GB2312" w:cs="仿宋_GB2312"/>
          <w:color w:val="000000"/>
          <w:kern w:val="0"/>
          <w:sz w:val="32"/>
          <w:szCs w:val="32"/>
          <w:lang w:eastAsia="zh-CN"/>
        </w:rPr>
        <w:t>制度措施职责分工不明确。资产管理方面，具体使用部门缺乏主观保护意识，对部分资产管理不够细致。</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000000"/>
          <w:kern w:val="0"/>
          <w:sz w:val="32"/>
          <w:szCs w:val="32"/>
          <w:highlight w:val="none"/>
          <w:lang w:eastAsia="zh-CN"/>
        </w:rPr>
      </w:pPr>
      <w:r>
        <w:rPr>
          <w:rFonts w:hint="eastAsia" w:ascii="仿宋_GB2312" w:hAnsi="仿宋_GB2312" w:eastAsia="仿宋_GB2312" w:cs="仿宋_GB2312"/>
          <w:color w:val="000000"/>
          <w:kern w:val="0"/>
          <w:sz w:val="32"/>
          <w:szCs w:val="32"/>
          <w:highlight w:val="none"/>
        </w:rPr>
        <w:t>六、措施建议</w:t>
      </w:r>
      <w:r>
        <w:rPr>
          <w:rFonts w:hint="eastAsia" w:ascii="仿宋_GB2312" w:hAnsi="仿宋_GB2312" w:eastAsia="仿宋_GB2312" w:cs="仿宋_GB2312"/>
          <w:color w:val="000000"/>
          <w:kern w:val="0"/>
          <w:sz w:val="32"/>
          <w:szCs w:val="32"/>
          <w:highlight w:val="none"/>
          <w:lang w:eastAsia="zh-CN"/>
        </w:rPr>
        <w:t>。</w:t>
      </w:r>
    </w:p>
    <w:p>
      <w:pPr>
        <w:pStyle w:val="2"/>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sz w:val="32"/>
          <w:szCs w:val="32"/>
          <w:highlight w:val="none"/>
          <w:lang w:eastAsia="zh-CN"/>
        </w:rPr>
      </w:pPr>
      <w:bookmarkStart w:id="0" w:name="_Toc103006301"/>
      <w:r>
        <w:rPr>
          <w:rFonts w:hint="eastAsia" w:ascii="仿宋_GB2312" w:hAnsi="仿宋_GB2312" w:eastAsia="仿宋_GB2312" w:cs="仿宋_GB2312"/>
          <w:sz w:val="32"/>
          <w:szCs w:val="32"/>
          <w:highlight w:val="none"/>
          <w:lang w:eastAsia="zh-CN"/>
        </w:rPr>
        <w:t>对于存在的问题，我院下一步将加强交流、学习、引导和督促，确保支出进度和资产管理的进一步细化，对于资金使用部门、资产使用部门和财务部门的工作上进一步细化职责，确保按要求完成支出进度和绩效目标。</w:t>
      </w:r>
    </w:p>
    <w:p>
      <w:pPr>
        <w:pStyle w:val="2"/>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七、附件</w:t>
      </w:r>
      <w:bookmarkEnd w:id="0"/>
    </w:p>
    <w:p>
      <w:pPr>
        <w:keepNext w:val="0"/>
        <w:keepLines w:val="0"/>
        <w:pageBreakBefore w:val="0"/>
        <w:widowControl w:val="0"/>
        <w:kinsoku/>
        <w:wordWrap/>
        <w:overflowPunct/>
        <w:topLinePunct w:val="0"/>
        <w:autoSpaceDE/>
        <w:autoSpaceDN/>
        <w:bidi w:val="0"/>
        <w:adjustRightInd/>
        <w:snapToGrid/>
        <w:spacing w:line="240" w:lineRule="auto"/>
        <w:ind w:firstLine="641"/>
        <w:textAlignment w:val="auto"/>
        <w:rPr>
          <w:rFonts w:hint="eastAsia" w:ascii="仿宋_GB2312" w:hAnsi="仿宋_GB2312" w:eastAsia="仿宋_GB2312" w:cs="仿宋_GB2312"/>
          <w:sz w:val="32"/>
          <w:szCs w:val="32"/>
          <w:highlight w:val="none"/>
          <w:lang w:eastAsia="zh-CN"/>
        </w:rPr>
        <w:sectPr>
          <w:footerReference r:id="rId3" w:type="default"/>
          <w:pgSz w:w="16838" w:h="11906" w:orient="landscape"/>
          <w:pgMar w:top="1800" w:right="1440" w:bottom="1800" w:left="1440" w:header="851" w:footer="964" w:gutter="0"/>
          <w:pgNumType w:fmt="decimal" w:start="1"/>
          <w:cols w:space="425" w:num="1"/>
          <w:docGrid w:type="lines" w:linePitch="435" w:charSpace="0"/>
        </w:sectPr>
      </w:pPr>
      <w:r>
        <w:rPr>
          <w:rFonts w:hint="eastAsia"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年部门整体绩效评价指标体系评分</w:t>
      </w:r>
      <w:r>
        <w:rPr>
          <w:rFonts w:hint="eastAsia" w:ascii="仿宋_GB2312" w:hAnsi="仿宋_GB2312" w:eastAsia="仿宋_GB2312" w:cs="仿宋_GB2312"/>
          <w:sz w:val="32"/>
          <w:szCs w:val="32"/>
          <w:highlight w:val="none"/>
          <w:lang w:eastAsia="zh-CN"/>
        </w:rPr>
        <w:t>表</w:t>
      </w:r>
    </w:p>
    <w:p>
      <w:pPr>
        <w:spacing w:line="560" w:lineRule="exact"/>
        <w:jc w:val="left"/>
        <w:rPr>
          <w:rFonts w:hint="default" w:ascii="方正黑体_GBK" w:hAnsi="方正黑体_GBK" w:eastAsia="方正黑体_GBK" w:cs="方正黑体_GBK"/>
          <w:sz w:val="32"/>
          <w:lang w:val="en-US" w:eastAsia="zh-CN"/>
        </w:rPr>
      </w:pPr>
      <w:r>
        <w:rPr>
          <w:rFonts w:hint="eastAsia" w:ascii="方正黑体_GBK" w:hAnsi="方正黑体_GBK" w:eastAsia="方正黑体_GBK" w:cs="方正黑体_GBK"/>
          <w:sz w:val="32"/>
          <w:lang w:eastAsia="zh-CN"/>
        </w:rPr>
        <w:t>附件</w:t>
      </w:r>
      <w:r>
        <w:rPr>
          <w:rFonts w:hint="eastAsia" w:ascii="方正黑体_GBK" w:hAnsi="方正黑体_GBK" w:eastAsia="方正黑体_GBK" w:cs="方正黑体_GBK"/>
          <w:sz w:val="32"/>
          <w:lang w:val="en-US" w:eastAsia="zh-CN"/>
        </w:rPr>
        <w:t>4-1</w:t>
      </w:r>
    </w:p>
    <w:tbl>
      <w:tblPr>
        <w:tblStyle w:val="6"/>
        <w:tblW w:w="14174" w:type="dxa"/>
        <w:tblInd w:w="0" w:type="dxa"/>
        <w:tblLayout w:type="fixed"/>
        <w:tblCellMar>
          <w:top w:w="0" w:type="dxa"/>
          <w:left w:w="108" w:type="dxa"/>
          <w:bottom w:w="0" w:type="dxa"/>
          <w:right w:w="108" w:type="dxa"/>
        </w:tblCellMar>
      </w:tblPr>
      <w:tblGrid>
        <w:gridCol w:w="1201"/>
        <w:gridCol w:w="1205"/>
        <w:gridCol w:w="1105"/>
        <w:gridCol w:w="1044"/>
        <w:gridCol w:w="629"/>
        <w:gridCol w:w="916"/>
        <w:gridCol w:w="916"/>
        <w:gridCol w:w="3629"/>
        <w:gridCol w:w="3529"/>
      </w:tblGrid>
      <w:tr>
        <w:tblPrEx>
          <w:tblLayout w:type="fixed"/>
          <w:tblCellMar>
            <w:top w:w="0" w:type="dxa"/>
            <w:left w:w="108" w:type="dxa"/>
            <w:bottom w:w="0" w:type="dxa"/>
            <w:right w:w="108" w:type="dxa"/>
          </w:tblCellMar>
        </w:tblPrEx>
        <w:trPr>
          <w:cantSplit/>
          <w:trHeight w:val="90" w:hRule="atLeast"/>
        </w:trPr>
        <w:tc>
          <w:tcPr>
            <w:tcW w:w="14174" w:type="dxa"/>
            <w:gridSpan w:val="9"/>
            <w:tcBorders>
              <w:top w:val="nil"/>
              <w:left w:val="nil"/>
              <w:bottom w:val="single" w:color="auto" w:sz="4" w:space="0"/>
              <w:right w:val="nil"/>
            </w:tcBorders>
            <w:noWrap/>
            <w:vAlign w:val="bottom"/>
          </w:tcPr>
          <w:p>
            <w:pPr>
              <w:widowControl/>
              <w:jc w:val="center"/>
              <w:rPr>
                <w:rFonts w:hint="eastAsia" w:ascii="方正小标宋简体" w:hAnsi="黑体" w:eastAsia="方正小标宋简体" w:cs="宋体"/>
                <w:color w:val="000000"/>
                <w:kern w:val="0"/>
                <w:sz w:val="44"/>
                <w:szCs w:val="44"/>
                <w:highlight w:val="yellow"/>
                <w:lang w:eastAsia="zh-CN"/>
              </w:rPr>
            </w:pPr>
            <w:r>
              <w:rPr>
                <w:rFonts w:hint="eastAsia" w:ascii="方正小标宋简体" w:hAnsi="黑体" w:eastAsia="方正小标宋简体" w:cs="宋体"/>
                <w:color w:val="000000"/>
                <w:kern w:val="0"/>
                <w:sz w:val="44"/>
                <w:szCs w:val="44"/>
                <w:highlight w:val="none"/>
              </w:rPr>
              <w:t>202</w:t>
            </w:r>
            <w:r>
              <w:rPr>
                <w:rFonts w:hint="eastAsia" w:ascii="方正小标宋简体" w:hAnsi="黑体" w:eastAsia="方正小标宋简体" w:cs="宋体"/>
                <w:color w:val="000000"/>
                <w:kern w:val="0"/>
                <w:sz w:val="44"/>
                <w:szCs w:val="44"/>
                <w:highlight w:val="none"/>
                <w:lang w:val="en-US" w:eastAsia="zh-CN"/>
              </w:rPr>
              <w:t>2</w:t>
            </w:r>
            <w:r>
              <w:rPr>
                <w:rFonts w:hint="eastAsia" w:ascii="方正小标宋简体" w:hAnsi="黑体" w:eastAsia="方正小标宋简体" w:cs="宋体"/>
                <w:color w:val="000000"/>
                <w:kern w:val="0"/>
                <w:sz w:val="44"/>
                <w:szCs w:val="44"/>
                <w:highlight w:val="none"/>
              </w:rPr>
              <w:t>年部门整体绩效评价指标体系评分表</w:t>
            </w:r>
          </w:p>
        </w:tc>
      </w:tr>
      <w:tr>
        <w:tblPrEx>
          <w:tblLayout w:type="fixed"/>
          <w:tblCellMar>
            <w:top w:w="0" w:type="dxa"/>
            <w:left w:w="108" w:type="dxa"/>
            <w:bottom w:w="0" w:type="dxa"/>
            <w:right w:w="108" w:type="dxa"/>
          </w:tblCellMar>
        </w:tblPrEx>
        <w:trPr>
          <w:cantSplit/>
          <w:trHeight w:val="470" w:hRule="atLeast"/>
        </w:trPr>
        <w:tc>
          <w:tcPr>
            <w:tcW w:w="14174" w:type="dxa"/>
            <w:gridSpan w:val="9"/>
            <w:tcBorders>
              <w:top w:val="single" w:color="auto" w:sz="4" w:space="0"/>
              <w:left w:val="single" w:color="auto" w:sz="4" w:space="0"/>
              <w:bottom w:val="single" w:color="000000"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一、</w:t>
            </w:r>
            <w:r>
              <w:rPr>
                <w:rFonts w:hint="eastAsia" w:ascii="宋体" w:hAnsi="宋体" w:cs="宋体"/>
                <w:color w:val="000000"/>
                <w:kern w:val="0"/>
                <w:sz w:val="20"/>
                <w:szCs w:val="20"/>
              </w:rPr>
              <w:t>当年预算执行情况（20分）</w:t>
            </w:r>
          </w:p>
        </w:tc>
      </w:tr>
      <w:tr>
        <w:tblPrEx>
          <w:tblLayout w:type="fixed"/>
          <w:tblCellMar>
            <w:top w:w="0" w:type="dxa"/>
            <w:left w:w="108" w:type="dxa"/>
            <w:bottom w:w="0" w:type="dxa"/>
            <w:right w:w="108" w:type="dxa"/>
          </w:tblCellMar>
        </w:tblPrEx>
        <w:trPr>
          <w:cantSplit/>
          <w:trHeight w:val="660" w:hRule="atLeast"/>
        </w:trPr>
        <w:tc>
          <w:tcPr>
            <w:tcW w:w="1201"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120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110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预算数（万元）</w:t>
            </w:r>
          </w:p>
        </w:tc>
        <w:tc>
          <w:tcPr>
            <w:tcW w:w="1044"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执行数（万元）</w:t>
            </w:r>
          </w:p>
        </w:tc>
        <w:tc>
          <w:tcPr>
            <w:tcW w:w="62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预算执行率</w:t>
            </w:r>
          </w:p>
        </w:tc>
        <w:tc>
          <w:tcPr>
            <w:tcW w:w="916"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916"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c>
          <w:tcPr>
            <w:tcW w:w="362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指标解释</w:t>
            </w:r>
          </w:p>
        </w:tc>
        <w:tc>
          <w:tcPr>
            <w:tcW w:w="3529"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评分标准</w:t>
            </w:r>
          </w:p>
        </w:tc>
      </w:tr>
      <w:tr>
        <w:tblPrEx>
          <w:tblLayout w:type="fixed"/>
          <w:tblCellMar>
            <w:top w:w="0" w:type="dxa"/>
            <w:left w:w="108" w:type="dxa"/>
            <w:bottom w:w="0" w:type="dxa"/>
            <w:right w:w="108" w:type="dxa"/>
          </w:tblCellMar>
        </w:tblPrEx>
        <w:trPr>
          <w:cantSplit/>
          <w:trHeight w:val="630" w:hRule="atLeast"/>
        </w:trPr>
        <w:tc>
          <w:tcPr>
            <w:tcW w:w="1201" w:type="dxa"/>
            <w:vMerge w:val="restart"/>
            <w:tcBorders>
              <w:top w:val="nil"/>
              <w:left w:val="single" w:color="auto" w:sz="4" w:space="0"/>
              <w:bottom w:val="single" w:color="000000"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当年预算执行情况（20）</w:t>
            </w:r>
          </w:p>
        </w:tc>
        <w:tc>
          <w:tcPr>
            <w:tcW w:w="120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资金总体</w:t>
            </w:r>
          </w:p>
        </w:tc>
        <w:tc>
          <w:tcPr>
            <w:tcW w:w="110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11481.05</w:t>
            </w:r>
            <w:r>
              <w:rPr>
                <w:rFonts w:hint="eastAsia" w:ascii="宋体" w:hAnsi="宋体" w:cs="宋体"/>
                <w:color w:val="000000"/>
                <w:kern w:val="0"/>
                <w:sz w:val="20"/>
                <w:szCs w:val="20"/>
              </w:rPr>
              <w:t>　</w:t>
            </w:r>
          </w:p>
        </w:tc>
        <w:tc>
          <w:tcPr>
            <w:tcW w:w="1044"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10973.85</w:t>
            </w:r>
            <w:r>
              <w:rPr>
                <w:rFonts w:hint="eastAsia" w:ascii="宋体" w:hAnsi="宋体" w:cs="宋体"/>
                <w:color w:val="000000"/>
                <w:kern w:val="0"/>
                <w:sz w:val="20"/>
                <w:szCs w:val="20"/>
              </w:rPr>
              <w:t>　</w:t>
            </w:r>
          </w:p>
        </w:tc>
        <w:tc>
          <w:tcPr>
            <w:tcW w:w="62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95.58</w:t>
            </w:r>
            <w:r>
              <w:rPr>
                <w:rFonts w:hint="eastAsia" w:ascii="宋体" w:hAnsi="宋体" w:cs="宋体"/>
                <w:color w:val="000000"/>
                <w:kern w:val="0"/>
                <w:sz w:val="20"/>
                <w:szCs w:val="20"/>
              </w:rPr>
              <w:t>　</w:t>
            </w:r>
          </w:p>
        </w:tc>
        <w:tc>
          <w:tcPr>
            <w:tcW w:w="916"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916"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19</w:t>
            </w:r>
            <w:r>
              <w:rPr>
                <w:rFonts w:hint="eastAsia" w:ascii="宋体" w:hAnsi="宋体" w:cs="宋体"/>
                <w:color w:val="000000"/>
                <w:kern w:val="0"/>
                <w:sz w:val="20"/>
                <w:szCs w:val="20"/>
              </w:rPr>
              <w:t>　</w:t>
            </w:r>
          </w:p>
        </w:tc>
        <w:tc>
          <w:tcPr>
            <w:tcW w:w="3629"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部门全年执行数与全年预算数的比率。资金总体=基本支出+项目支出+其他</w:t>
            </w:r>
          </w:p>
        </w:tc>
        <w:tc>
          <w:tcPr>
            <w:tcW w:w="3529" w:type="dxa"/>
            <w:vMerge w:val="restart"/>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①得分一档最高不能超过该指标分值上限（20分）。</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②该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tc>
      </w:tr>
      <w:tr>
        <w:tblPrEx>
          <w:tblLayout w:type="fixed"/>
          <w:tblCellMar>
            <w:top w:w="0" w:type="dxa"/>
            <w:left w:w="108" w:type="dxa"/>
            <w:bottom w:w="0" w:type="dxa"/>
            <w:right w:w="108" w:type="dxa"/>
          </w:tblCellMar>
        </w:tblPrEx>
        <w:trPr>
          <w:cantSplit/>
          <w:trHeight w:val="600" w:hRule="atLeast"/>
        </w:trPr>
        <w:tc>
          <w:tcPr>
            <w:tcW w:w="1201"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1205" w:type="dxa"/>
            <w:tcBorders>
              <w:top w:val="single" w:color="auto" w:sz="4" w:space="0"/>
              <w:left w:val="single" w:color="auto" w:sz="4" w:space="0"/>
              <w:bottom w:val="single" w:color="auto" w:sz="4" w:space="0"/>
              <w:right w:val="nil"/>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基本支出</w:t>
            </w:r>
          </w:p>
        </w:tc>
        <w:tc>
          <w:tcPr>
            <w:tcW w:w="110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9840.94</w:t>
            </w:r>
          </w:p>
        </w:tc>
        <w:tc>
          <w:tcPr>
            <w:tcW w:w="1044" w:type="dxa"/>
            <w:tcBorders>
              <w:top w:val="single" w:color="auto" w:sz="4" w:space="0"/>
              <w:left w:val="nil"/>
              <w:bottom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9638.26</w:t>
            </w:r>
          </w:p>
        </w:tc>
        <w:tc>
          <w:tcPr>
            <w:tcW w:w="629"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91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916" w:type="dxa"/>
            <w:vMerge w:val="continue"/>
            <w:tcBorders>
              <w:top w:val="single" w:color="auto" w:sz="4" w:space="0"/>
              <w:left w:val="nil"/>
              <w:bottom w:val="single" w:color="auto" w:sz="4" w:space="0"/>
              <w:right w:val="nil"/>
            </w:tcBorders>
            <w:noWrap w:val="0"/>
            <w:vAlign w:val="center"/>
          </w:tcPr>
          <w:p>
            <w:pPr>
              <w:widowControl/>
              <w:jc w:val="left"/>
              <w:rPr>
                <w:rFonts w:ascii="宋体" w:hAnsi="宋体" w:cs="宋体"/>
                <w:color w:val="000000"/>
                <w:kern w:val="0"/>
                <w:sz w:val="20"/>
                <w:szCs w:val="20"/>
              </w:rPr>
            </w:pPr>
          </w:p>
        </w:tc>
        <w:tc>
          <w:tcPr>
            <w:tcW w:w="362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3529"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615" w:hRule="atLeast"/>
        </w:trPr>
        <w:tc>
          <w:tcPr>
            <w:tcW w:w="1201"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1205" w:type="dxa"/>
            <w:tcBorders>
              <w:top w:val="single" w:color="auto" w:sz="4" w:space="0"/>
              <w:left w:val="single" w:color="auto" w:sz="4" w:space="0"/>
              <w:bottom w:val="single" w:color="auto" w:sz="4" w:space="0"/>
              <w:right w:val="nil"/>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项目支出</w:t>
            </w:r>
          </w:p>
        </w:tc>
        <w:tc>
          <w:tcPr>
            <w:tcW w:w="110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1640.11</w:t>
            </w:r>
          </w:p>
        </w:tc>
        <w:tc>
          <w:tcPr>
            <w:tcW w:w="1044" w:type="dxa"/>
            <w:tcBorders>
              <w:top w:val="single" w:color="auto" w:sz="4" w:space="0"/>
              <w:left w:val="nil"/>
              <w:bottom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1335.59</w:t>
            </w:r>
          </w:p>
        </w:tc>
        <w:tc>
          <w:tcPr>
            <w:tcW w:w="62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91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916" w:type="dxa"/>
            <w:vMerge w:val="continue"/>
            <w:tcBorders>
              <w:top w:val="single" w:color="auto" w:sz="4" w:space="0"/>
              <w:left w:val="nil"/>
              <w:bottom w:val="single" w:color="auto" w:sz="4" w:space="0"/>
              <w:right w:val="nil"/>
            </w:tcBorders>
            <w:noWrap w:val="0"/>
            <w:vAlign w:val="center"/>
          </w:tcPr>
          <w:p>
            <w:pPr>
              <w:widowControl/>
              <w:jc w:val="left"/>
              <w:rPr>
                <w:rFonts w:ascii="宋体" w:hAnsi="宋体" w:cs="宋体"/>
                <w:color w:val="000000"/>
                <w:kern w:val="0"/>
                <w:sz w:val="20"/>
                <w:szCs w:val="20"/>
              </w:rPr>
            </w:pPr>
          </w:p>
        </w:tc>
        <w:tc>
          <w:tcPr>
            <w:tcW w:w="362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3529"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2136" w:hRule="atLeast"/>
        </w:trPr>
        <w:tc>
          <w:tcPr>
            <w:tcW w:w="1201"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120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其他</w:t>
            </w:r>
          </w:p>
        </w:tc>
        <w:tc>
          <w:tcPr>
            <w:tcW w:w="1105"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044"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2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91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916" w:type="dxa"/>
            <w:vMerge w:val="continue"/>
            <w:tcBorders>
              <w:top w:val="single" w:color="auto" w:sz="4" w:space="0"/>
              <w:left w:val="nil"/>
              <w:bottom w:val="single" w:color="auto" w:sz="4" w:space="0"/>
              <w:right w:val="nil"/>
            </w:tcBorders>
            <w:noWrap w:val="0"/>
            <w:vAlign w:val="center"/>
          </w:tcPr>
          <w:p>
            <w:pPr>
              <w:widowControl/>
              <w:jc w:val="left"/>
              <w:rPr>
                <w:rFonts w:ascii="宋体" w:hAnsi="宋体" w:cs="宋体"/>
                <w:color w:val="000000"/>
                <w:kern w:val="0"/>
                <w:sz w:val="20"/>
                <w:szCs w:val="20"/>
              </w:rPr>
            </w:pPr>
          </w:p>
        </w:tc>
        <w:tc>
          <w:tcPr>
            <w:tcW w:w="362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3529"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479" w:hRule="atLeast"/>
        </w:trPr>
        <w:tc>
          <w:tcPr>
            <w:tcW w:w="14174" w:type="dxa"/>
            <w:gridSpan w:val="9"/>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二</w:t>
            </w:r>
            <w:r>
              <w:rPr>
                <w:rFonts w:ascii="宋体" w:hAnsi="宋体" w:cs="宋体"/>
                <w:color w:val="000000"/>
                <w:kern w:val="0"/>
                <w:sz w:val="18"/>
                <w:szCs w:val="18"/>
              </w:rPr>
              <w:t>、</w:t>
            </w:r>
            <w:r>
              <w:rPr>
                <w:rFonts w:hint="eastAsia" w:ascii="宋体" w:hAnsi="宋体" w:cs="宋体"/>
                <w:color w:val="000000"/>
                <w:kern w:val="0"/>
                <w:sz w:val="20"/>
                <w:szCs w:val="20"/>
              </w:rPr>
              <w:t>整体绩效目标实现情况（60分）</w:t>
            </w:r>
          </w:p>
        </w:tc>
      </w:tr>
      <w:tr>
        <w:tblPrEx>
          <w:tblLayout w:type="fixed"/>
          <w:tblCellMar>
            <w:top w:w="0" w:type="dxa"/>
            <w:left w:w="108" w:type="dxa"/>
            <w:bottom w:w="0" w:type="dxa"/>
            <w:right w:w="108" w:type="dxa"/>
          </w:tblCellMar>
        </w:tblPrEx>
        <w:trPr>
          <w:cantSplit/>
          <w:trHeight w:val="499" w:hRule="atLeast"/>
        </w:trPr>
        <w:tc>
          <w:tcPr>
            <w:tcW w:w="1201"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p>
        </w:tc>
        <w:tc>
          <w:tcPr>
            <w:tcW w:w="1205"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1105"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三</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1044"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指标值</w:t>
            </w:r>
          </w:p>
        </w:tc>
        <w:tc>
          <w:tcPr>
            <w:tcW w:w="629"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完成值</w:t>
            </w:r>
          </w:p>
        </w:tc>
        <w:tc>
          <w:tcPr>
            <w:tcW w:w="916"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916" w:type="dxa"/>
            <w:tcBorders>
              <w:top w:val="single" w:color="auto" w:sz="4" w:space="0"/>
              <w:left w:val="nil"/>
              <w:bottom w:val="single" w:color="auto" w:sz="4" w:space="0"/>
              <w:right w:val="nil"/>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c>
          <w:tcPr>
            <w:tcW w:w="362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bCs/>
                <w:color w:val="000000"/>
                <w:kern w:val="0"/>
                <w:sz w:val="18"/>
                <w:szCs w:val="18"/>
              </w:rPr>
            </w:pPr>
            <w:r>
              <w:rPr>
                <w:rFonts w:hint="eastAsia" w:ascii="宋体" w:hAnsi="宋体" w:cs="宋体"/>
                <w:bCs/>
                <w:color w:val="000000"/>
                <w:kern w:val="0"/>
                <w:sz w:val="18"/>
                <w:szCs w:val="18"/>
              </w:rPr>
              <w:t>指标</w:t>
            </w:r>
            <w:r>
              <w:rPr>
                <w:rFonts w:ascii="宋体" w:hAnsi="宋体" w:cs="宋体"/>
                <w:bCs/>
                <w:color w:val="000000"/>
                <w:kern w:val="0"/>
                <w:sz w:val="18"/>
                <w:szCs w:val="18"/>
              </w:rPr>
              <w:t>解释</w:t>
            </w:r>
          </w:p>
        </w:tc>
        <w:tc>
          <w:tcPr>
            <w:tcW w:w="352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评</w:t>
            </w:r>
            <w:r>
              <w:rPr>
                <w:rFonts w:ascii="宋体" w:hAnsi="宋体" w:cs="宋体"/>
                <w:color w:val="000000"/>
                <w:kern w:val="0"/>
                <w:sz w:val="18"/>
                <w:szCs w:val="18"/>
              </w:rPr>
              <w:t>分标准</w:t>
            </w:r>
          </w:p>
        </w:tc>
      </w:tr>
      <w:tr>
        <w:tblPrEx>
          <w:tblLayout w:type="fixed"/>
          <w:tblCellMar>
            <w:top w:w="0" w:type="dxa"/>
            <w:left w:w="108" w:type="dxa"/>
            <w:bottom w:w="0" w:type="dxa"/>
            <w:right w:w="108" w:type="dxa"/>
          </w:tblCellMar>
        </w:tblPrEx>
        <w:trPr>
          <w:cantSplit/>
          <w:trHeight w:val="4560" w:hRule="atLeast"/>
        </w:trPr>
        <w:tc>
          <w:tcPr>
            <w:tcW w:w="1201"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整体绩效目标实现情况（60）</w:t>
            </w:r>
          </w:p>
        </w:tc>
        <w:tc>
          <w:tcPr>
            <w:tcW w:w="1205" w:type="dxa"/>
            <w:tcBorders>
              <w:top w:val="single" w:color="auto" w:sz="4" w:space="0"/>
              <w:left w:val="nil"/>
              <w:right w:val="single" w:color="auto" w:sz="4" w:space="0"/>
            </w:tcBorders>
            <w:noWrap w:val="0"/>
            <w:vAlign w:val="center"/>
          </w:tcPr>
          <w:p>
            <w:pPr>
              <w:widowControl/>
              <w:jc w:val="center"/>
              <w:rPr>
                <w:rFonts w:ascii="宋体" w:hAnsi="宋体" w:cs="宋体"/>
                <w:color w:val="000000"/>
                <w:kern w:val="0"/>
                <w:sz w:val="20"/>
                <w:szCs w:val="20"/>
              </w:rPr>
            </w:pPr>
          </w:p>
          <w:p>
            <w:pPr>
              <w:jc w:val="center"/>
              <w:rPr>
                <w:rFonts w:hint="eastAsia" w:ascii="宋体" w:hAnsi="宋体" w:cs="宋体"/>
                <w:color w:val="000000"/>
                <w:kern w:val="0"/>
                <w:sz w:val="20"/>
                <w:szCs w:val="20"/>
              </w:rPr>
            </w:pPr>
            <w:r>
              <w:rPr>
                <w:rFonts w:hint="eastAsia" w:ascii="宋体" w:hAnsi="宋体" w:cs="宋体"/>
                <w:color w:val="000000"/>
                <w:kern w:val="0"/>
                <w:sz w:val="20"/>
                <w:szCs w:val="20"/>
              </w:rPr>
              <w:t>产出（30）</w:t>
            </w:r>
          </w:p>
        </w:tc>
        <w:tc>
          <w:tcPr>
            <w:tcW w:w="1105"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lang w:eastAsia="zh-CN"/>
              </w:rPr>
              <w:t>全面依法履行审判职能，着力做好审判执行和党的群众路线教育活动等重点工作</w:t>
            </w:r>
          </w:p>
          <w:p>
            <w:pPr>
              <w:jc w:val="center"/>
              <w:rPr>
                <w:rFonts w:hint="eastAsia" w:ascii="宋体" w:hAnsi="宋体" w:cs="宋体"/>
                <w:color w:val="000000"/>
                <w:kern w:val="0"/>
                <w:sz w:val="20"/>
                <w:szCs w:val="20"/>
              </w:rPr>
            </w:pPr>
          </w:p>
        </w:tc>
        <w:tc>
          <w:tcPr>
            <w:tcW w:w="1044"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lang w:eastAsia="zh-CN"/>
              </w:rPr>
              <w:t>优良中差</w:t>
            </w:r>
          </w:p>
          <w:p>
            <w:pPr>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29"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lang w:eastAsia="zh-CN"/>
              </w:rPr>
              <w:t>优</w:t>
            </w:r>
          </w:p>
          <w:p>
            <w:pPr>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916"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color w:val="000000"/>
                <w:kern w:val="0"/>
                <w:sz w:val="20"/>
                <w:szCs w:val="20"/>
              </w:rPr>
            </w:pPr>
          </w:p>
          <w:p>
            <w:pPr>
              <w:jc w:val="center"/>
              <w:rPr>
                <w:rFonts w:hint="eastAsia" w:ascii="宋体" w:hAnsi="宋体" w:cs="宋体"/>
                <w:color w:val="000000"/>
                <w:kern w:val="0"/>
                <w:sz w:val="20"/>
                <w:szCs w:val="20"/>
              </w:rPr>
            </w:pPr>
            <w:r>
              <w:rPr>
                <w:rFonts w:hint="eastAsia" w:ascii="宋体" w:hAnsi="宋体" w:cs="宋体"/>
                <w:color w:val="000000"/>
                <w:kern w:val="0"/>
                <w:sz w:val="20"/>
                <w:szCs w:val="20"/>
              </w:rPr>
              <w:t>30</w:t>
            </w:r>
          </w:p>
        </w:tc>
        <w:tc>
          <w:tcPr>
            <w:tcW w:w="916" w:type="dxa"/>
            <w:tcBorders>
              <w:top w:val="single" w:color="auto" w:sz="4" w:space="0"/>
              <w:left w:val="nil"/>
              <w:bottom w:val="single" w:color="auto" w:sz="4" w:space="0"/>
              <w:right w:val="nil"/>
            </w:tcBorders>
            <w:noWrap w:val="0"/>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28</w:t>
            </w:r>
          </w:p>
          <w:p>
            <w:pPr>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3629"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产出数量</w:t>
            </w:r>
            <w:r>
              <w:rPr>
                <w:rFonts w:hint="eastAsia" w:ascii="宋体" w:hAnsi="宋体" w:cs="宋体"/>
                <w:color w:val="000000"/>
                <w:kern w:val="0"/>
                <w:sz w:val="18"/>
                <w:szCs w:val="18"/>
              </w:rPr>
              <w:t>：计划完成率=（实际完成工作数/计划工作数）×100%。实际完成工作数：一定时期（年度或规划期）内部门（单位）实际完成工作任务的数量。计划工作数：部门（单位）整体绩效目标确定的一定时期（年度或规划期）内预计完成工作任务的数量。</w:t>
            </w:r>
            <w:r>
              <w:rPr>
                <w:rFonts w:hint="eastAsia" w:ascii="宋体" w:hAnsi="宋体" w:cs="宋体"/>
                <w:b/>
                <w:bCs/>
                <w:color w:val="000000"/>
                <w:kern w:val="0"/>
                <w:sz w:val="18"/>
                <w:szCs w:val="18"/>
              </w:rPr>
              <w:t>产出质量</w:t>
            </w:r>
            <w:r>
              <w:rPr>
                <w:rFonts w:hint="eastAsia" w:ascii="宋体" w:hAnsi="宋体" w:cs="宋体"/>
                <w:color w:val="000000"/>
                <w:kern w:val="0"/>
                <w:sz w:val="18"/>
                <w:szCs w:val="18"/>
              </w:rPr>
              <w:t>：质量达标率=质量达标工作数/实际完成工作数×100%。质量达标工作数：一定时期（年度或规划期）内部门（单位）实际完成工作数中达到部门绩效目标要求（绩效标准值）的工作任务数量。</w:t>
            </w:r>
            <w:r>
              <w:rPr>
                <w:rFonts w:hint="eastAsia" w:ascii="宋体" w:hAnsi="宋体" w:cs="宋体"/>
                <w:b/>
                <w:bCs/>
                <w:color w:val="000000"/>
                <w:kern w:val="0"/>
                <w:sz w:val="18"/>
                <w:szCs w:val="18"/>
              </w:rPr>
              <w:t>产出进度：</w:t>
            </w:r>
            <w:r>
              <w:rPr>
                <w:rFonts w:hint="eastAsia" w:ascii="宋体" w:hAnsi="宋体" w:cs="宋体"/>
                <w:color w:val="000000"/>
                <w:kern w:val="0"/>
                <w:sz w:val="18"/>
                <w:szCs w:val="18"/>
              </w:rPr>
              <w:t>按时完成率=（按时完成工作数/实际完成工作数）×100%。按时完成工作数：部门（单位）按照整体绩效目标确定的时限实际完成的工作任务数量。</w:t>
            </w:r>
            <w:r>
              <w:rPr>
                <w:rFonts w:hint="eastAsia" w:ascii="宋体" w:hAnsi="宋体" w:cs="宋体"/>
                <w:b/>
                <w:bCs/>
                <w:color w:val="000000"/>
                <w:kern w:val="0"/>
                <w:sz w:val="18"/>
                <w:szCs w:val="18"/>
              </w:rPr>
              <w:t>产出成本</w:t>
            </w:r>
            <w:r>
              <w:rPr>
                <w:rFonts w:hint="eastAsia" w:ascii="宋体" w:hAnsi="宋体" w:cs="宋体"/>
                <w:color w:val="000000"/>
                <w:kern w:val="0"/>
                <w:sz w:val="18"/>
                <w:szCs w:val="18"/>
              </w:rPr>
              <w:t>：单位产出相对于上一年度的节约额；②单位产出相对于市场同类产出的节约额；③部门公用经费的控制情况。</w:t>
            </w:r>
          </w:p>
        </w:tc>
        <w:tc>
          <w:tcPr>
            <w:tcW w:w="3529"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部门根据本单位情况自行确定并选择产出指标，合理确定各项指标权重。可量化的指标按照比率*单项指标分值即为该指标得分。如果不能定量评价，则以定性的方式进行自评。</w:t>
            </w:r>
          </w:p>
        </w:tc>
      </w:tr>
      <w:tr>
        <w:tblPrEx>
          <w:tblLayout w:type="fixed"/>
          <w:tblCellMar>
            <w:top w:w="0" w:type="dxa"/>
            <w:left w:w="108" w:type="dxa"/>
            <w:bottom w:w="0" w:type="dxa"/>
            <w:right w:w="108" w:type="dxa"/>
          </w:tblCellMar>
        </w:tblPrEx>
        <w:trPr>
          <w:cantSplit/>
          <w:trHeight w:val="675" w:hRule="atLeast"/>
        </w:trPr>
        <w:tc>
          <w:tcPr>
            <w:tcW w:w="1201"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1205"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效果（30）</w:t>
            </w:r>
          </w:p>
        </w:tc>
        <w:tc>
          <w:tcPr>
            <w:tcW w:w="1105" w:type="dxa"/>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eastAsia="zh-CN"/>
              </w:rPr>
              <w:t>坚持司法为民、公正司法，努力让人民群众在们一个司法案件中都感受到公平正义</w:t>
            </w:r>
          </w:p>
        </w:tc>
        <w:tc>
          <w:tcPr>
            <w:tcW w:w="1044"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lang w:eastAsia="zh-CN"/>
              </w:rPr>
              <w:t>优良中差</w:t>
            </w:r>
            <w:r>
              <w:rPr>
                <w:rFonts w:hint="eastAsia" w:ascii="宋体" w:hAnsi="宋体" w:cs="宋体"/>
                <w:color w:val="000000"/>
                <w:kern w:val="0"/>
                <w:sz w:val="20"/>
                <w:szCs w:val="20"/>
              </w:rPr>
              <w:t>　</w:t>
            </w:r>
          </w:p>
        </w:tc>
        <w:tc>
          <w:tcPr>
            <w:tcW w:w="629"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rPr>
              <w:t>　</w:t>
            </w:r>
            <w:r>
              <w:rPr>
                <w:rFonts w:hint="eastAsia" w:ascii="宋体" w:hAnsi="宋体" w:cs="宋体"/>
                <w:color w:val="000000"/>
                <w:kern w:val="0"/>
                <w:sz w:val="20"/>
                <w:szCs w:val="20"/>
                <w:lang w:eastAsia="zh-CN"/>
              </w:rPr>
              <w:t>优</w:t>
            </w:r>
          </w:p>
        </w:tc>
        <w:tc>
          <w:tcPr>
            <w:tcW w:w="916" w:type="dxa"/>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30</w:t>
            </w:r>
          </w:p>
        </w:tc>
        <w:tc>
          <w:tcPr>
            <w:tcW w:w="916" w:type="dxa"/>
            <w:tcBorders>
              <w:top w:val="nil"/>
              <w:left w:val="nil"/>
              <w:bottom w:val="single" w:color="auto" w:sz="4" w:space="0"/>
              <w:right w:val="nil"/>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30</w:t>
            </w:r>
            <w:r>
              <w:rPr>
                <w:rFonts w:hint="eastAsia" w:ascii="宋体" w:hAnsi="宋体" w:cs="宋体"/>
                <w:color w:val="000000"/>
                <w:kern w:val="0"/>
                <w:sz w:val="20"/>
                <w:szCs w:val="20"/>
              </w:rPr>
              <w:t>　</w:t>
            </w:r>
          </w:p>
        </w:tc>
        <w:tc>
          <w:tcPr>
            <w:tcW w:w="3629" w:type="dxa"/>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经济效益</w:t>
            </w:r>
            <w:r>
              <w:rPr>
                <w:rFonts w:hint="eastAsia" w:ascii="宋体" w:hAnsi="宋体" w:cs="宋体"/>
                <w:color w:val="000000"/>
                <w:kern w:val="0"/>
                <w:sz w:val="18"/>
                <w:szCs w:val="18"/>
              </w:rPr>
              <w:t>：部门（单位）履行职责对经济发展所带来的直接或间接影响。</w:t>
            </w:r>
            <w:r>
              <w:rPr>
                <w:rFonts w:hint="eastAsia" w:ascii="宋体" w:hAnsi="宋体" w:cs="宋体"/>
                <w:b/>
                <w:bCs/>
                <w:color w:val="000000"/>
                <w:kern w:val="0"/>
                <w:sz w:val="18"/>
                <w:szCs w:val="18"/>
              </w:rPr>
              <w:t>社会效益</w:t>
            </w:r>
            <w:r>
              <w:rPr>
                <w:rFonts w:hint="eastAsia" w:ascii="宋体" w:hAnsi="宋体" w:cs="宋体"/>
                <w:color w:val="000000"/>
                <w:kern w:val="0"/>
                <w:sz w:val="18"/>
                <w:szCs w:val="18"/>
              </w:rPr>
              <w:t>：部门（单位）履行职责对社会发展所带来的直接或间接影响。</w:t>
            </w:r>
            <w:r>
              <w:rPr>
                <w:rFonts w:hint="eastAsia" w:ascii="宋体" w:hAnsi="宋体" w:cs="宋体"/>
                <w:b/>
                <w:bCs/>
                <w:color w:val="000000"/>
                <w:kern w:val="0"/>
                <w:sz w:val="18"/>
                <w:szCs w:val="18"/>
              </w:rPr>
              <w:t>环境效益</w:t>
            </w:r>
            <w:r>
              <w:rPr>
                <w:rFonts w:hint="eastAsia" w:ascii="宋体" w:hAnsi="宋体" w:cs="宋体"/>
                <w:color w:val="000000"/>
                <w:kern w:val="0"/>
                <w:sz w:val="18"/>
                <w:szCs w:val="18"/>
              </w:rPr>
              <w:t>：部门（单位）履行职责对环境所带来的直接或间接影响。</w:t>
            </w:r>
            <w:r>
              <w:rPr>
                <w:rFonts w:hint="eastAsia" w:ascii="宋体" w:hAnsi="宋体" w:cs="宋体"/>
                <w:b/>
                <w:bCs/>
                <w:color w:val="000000"/>
                <w:kern w:val="0"/>
                <w:sz w:val="18"/>
                <w:szCs w:val="18"/>
              </w:rPr>
              <w:t>可持续性影响：</w:t>
            </w:r>
            <w:r>
              <w:rPr>
                <w:rFonts w:hint="eastAsia" w:ascii="宋体" w:hAnsi="宋体" w:cs="宋体"/>
                <w:color w:val="000000"/>
                <w:kern w:val="0"/>
                <w:sz w:val="18"/>
                <w:szCs w:val="18"/>
              </w:rPr>
              <w:t>部门绩效目标实现的长效机制建设情况，部门工作效率提升措施的创新。</w:t>
            </w:r>
            <w:r>
              <w:rPr>
                <w:rFonts w:hint="eastAsia" w:ascii="宋体" w:hAnsi="宋体" w:cs="宋体"/>
                <w:b/>
                <w:bCs/>
                <w:color w:val="000000"/>
                <w:kern w:val="0"/>
                <w:sz w:val="18"/>
                <w:szCs w:val="18"/>
              </w:rPr>
              <w:t>服务对象满意度</w:t>
            </w:r>
            <w:r>
              <w:rPr>
                <w:rFonts w:hint="eastAsia" w:ascii="宋体" w:hAnsi="宋体" w:cs="宋体"/>
                <w:color w:val="000000"/>
                <w:kern w:val="0"/>
                <w:sz w:val="18"/>
                <w:szCs w:val="18"/>
              </w:rPr>
              <w:t>：部门（单位）的服务对象对部门履职效果的满意程度。</w:t>
            </w:r>
          </w:p>
        </w:tc>
        <w:tc>
          <w:tcPr>
            <w:tcW w:w="3529" w:type="dxa"/>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部门根据实际情况选择指标进行填写，并将其细化为相应的个性化指标。对于效益类指标可从受益对象瞄准度、受益广度和受益深度上进行设计分析。</w:t>
            </w:r>
          </w:p>
        </w:tc>
      </w:tr>
      <w:tr>
        <w:tblPrEx>
          <w:tblLayout w:type="fixed"/>
          <w:tblCellMar>
            <w:top w:w="0" w:type="dxa"/>
            <w:left w:w="108" w:type="dxa"/>
            <w:bottom w:w="0" w:type="dxa"/>
            <w:right w:w="108" w:type="dxa"/>
          </w:tblCellMar>
        </w:tblPrEx>
        <w:trPr>
          <w:cantSplit/>
          <w:trHeight w:val="487" w:hRule="atLeast"/>
        </w:trPr>
        <w:tc>
          <w:tcPr>
            <w:tcW w:w="14174" w:type="dxa"/>
            <w:gridSpan w:val="9"/>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三</w:t>
            </w:r>
            <w:r>
              <w:rPr>
                <w:rFonts w:ascii="宋体" w:hAnsi="宋体" w:cs="宋体"/>
                <w:color w:val="000000"/>
                <w:kern w:val="0"/>
                <w:sz w:val="18"/>
                <w:szCs w:val="18"/>
              </w:rPr>
              <w:t>、</w:t>
            </w:r>
            <w:r>
              <w:rPr>
                <w:rFonts w:hint="eastAsia" w:ascii="宋体" w:hAnsi="宋体" w:cs="宋体"/>
                <w:color w:val="000000"/>
                <w:kern w:val="0"/>
                <w:sz w:val="20"/>
                <w:szCs w:val="20"/>
              </w:rPr>
              <w:t>预算管理情况（20分）</w:t>
            </w:r>
          </w:p>
        </w:tc>
      </w:tr>
      <w:tr>
        <w:tblPrEx>
          <w:tblLayout w:type="fixed"/>
          <w:tblCellMar>
            <w:top w:w="0" w:type="dxa"/>
            <w:left w:w="108" w:type="dxa"/>
            <w:bottom w:w="0" w:type="dxa"/>
            <w:right w:w="108" w:type="dxa"/>
          </w:tblCellMar>
        </w:tblPrEx>
        <w:trPr>
          <w:cantSplit/>
          <w:trHeight w:val="702" w:hRule="atLeast"/>
        </w:trPr>
        <w:tc>
          <w:tcPr>
            <w:tcW w:w="1201"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p>
        </w:tc>
        <w:tc>
          <w:tcPr>
            <w:tcW w:w="120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p>
        </w:tc>
        <w:tc>
          <w:tcPr>
            <w:tcW w:w="1105"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三</w:t>
            </w:r>
            <w:r>
              <w:rPr>
                <w:rFonts w:ascii="宋体" w:hAnsi="宋体" w:cs="宋体"/>
                <w:color w:val="000000"/>
                <w:kern w:val="0"/>
                <w:sz w:val="20"/>
                <w:szCs w:val="20"/>
              </w:rPr>
              <w:t>级指标</w:t>
            </w:r>
          </w:p>
        </w:tc>
        <w:tc>
          <w:tcPr>
            <w:tcW w:w="1044"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w:t>
            </w:r>
            <w:r>
              <w:rPr>
                <w:rFonts w:ascii="宋体" w:hAnsi="宋体" w:cs="宋体"/>
                <w:color w:val="000000"/>
                <w:kern w:val="0"/>
                <w:sz w:val="20"/>
                <w:szCs w:val="20"/>
              </w:rPr>
              <w:t>值</w:t>
            </w:r>
          </w:p>
        </w:tc>
        <w:tc>
          <w:tcPr>
            <w:tcW w:w="629"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完成</w:t>
            </w:r>
            <w:r>
              <w:rPr>
                <w:rFonts w:ascii="宋体" w:hAnsi="宋体" w:cs="宋体"/>
                <w:color w:val="000000"/>
                <w:kern w:val="0"/>
                <w:sz w:val="20"/>
                <w:szCs w:val="20"/>
              </w:rPr>
              <w:t>值</w:t>
            </w:r>
          </w:p>
        </w:tc>
        <w:tc>
          <w:tcPr>
            <w:tcW w:w="916" w:type="dxa"/>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w:t>
            </w:r>
            <w:r>
              <w:rPr>
                <w:rFonts w:ascii="宋体" w:hAnsi="宋体" w:cs="宋体"/>
                <w:color w:val="000000"/>
                <w:kern w:val="0"/>
                <w:sz w:val="20"/>
                <w:szCs w:val="20"/>
              </w:rPr>
              <w:t>值</w:t>
            </w:r>
          </w:p>
        </w:tc>
        <w:tc>
          <w:tcPr>
            <w:tcW w:w="916" w:type="dxa"/>
            <w:tcBorders>
              <w:top w:val="single" w:color="auto" w:sz="4" w:space="0"/>
              <w:left w:val="nil"/>
              <w:bottom w:val="single" w:color="auto" w:sz="4" w:space="0"/>
              <w:right w:val="nil"/>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w:t>
            </w:r>
            <w:r>
              <w:rPr>
                <w:rFonts w:ascii="宋体" w:hAnsi="宋体" w:cs="宋体"/>
                <w:color w:val="000000"/>
                <w:kern w:val="0"/>
                <w:sz w:val="20"/>
                <w:szCs w:val="20"/>
              </w:rPr>
              <w:t>分</w:t>
            </w:r>
          </w:p>
        </w:tc>
        <w:tc>
          <w:tcPr>
            <w:tcW w:w="362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b/>
                <w:bCs/>
                <w:color w:val="000000"/>
                <w:kern w:val="0"/>
                <w:sz w:val="18"/>
                <w:szCs w:val="18"/>
              </w:rPr>
            </w:pPr>
            <w:r>
              <w:rPr>
                <w:rFonts w:hint="eastAsia" w:ascii="宋体" w:hAnsi="宋体" w:cs="宋体"/>
                <w:bCs/>
                <w:color w:val="000000"/>
                <w:kern w:val="0"/>
                <w:sz w:val="18"/>
                <w:szCs w:val="18"/>
              </w:rPr>
              <w:t>指标</w:t>
            </w:r>
            <w:r>
              <w:rPr>
                <w:rFonts w:ascii="宋体" w:hAnsi="宋体" w:cs="宋体"/>
                <w:bCs/>
                <w:color w:val="000000"/>
                <w:kern w:val="0"/>
                <w:sz w:val="18"/>
                <w:szCs w:val="18"/>
              </w:rPr>
              <w:t>解释</w:t>
            </w:r>
          </w:p>
        </w:tc>
        <w:tc>
          <w:tcPr>
            <w:tcW w:w="3529"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评</w:t>
            </w:r>
            <w:r>
              <w:rPr>
                <w:rFonts w:ascii="宋体" w:hAnsi="宋体" w:cs="宋体"/>
                <w:color w:val="000000"/>
                <w:kern w:val="0"/>
                <w:sz w:val="18"/>
                <w:szCs w:val="18"/>
              </w:rPr>
              <w:t>分标准</w:t>
            </w:r>
          </w:p>
        </w:tc>
      </w:tr>
      <w:tr>
        <w:tblPrEx>
          <w:tblLayout w:type="fixed"/>
          <w:tblCellMar>
            <w:top w:w="0" w:type="dxa"/>
            <w:left w:w="108" w:type="dxa"/>
            <w:bottom w:w="0" w:type="dxa"/>
            <w:right w:w="108" w:type="dxa"/>
          </w:tblCellMar>
        </w:tblPrEx>
        <w:trPr>
          <w:cantSplit/>
          <w:trHeight w:val="1230" w:hRule="atLeast"/>
        </w:trPr>
        <w:tc>
          <w:tcPr>
            <w:tcW w:w="1201"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预算管理情况（20）</w:t>
            </w:r>
          </w:p>
        </w:tc>
        <w:tc>
          <w:tcPr>
            <w:tcW w:w="120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财务管理（4）</w:t>
            </w:r>
          </w:p>
        </w:tc>
        <w:tc>
          <w:tcPr>
            <w:tcW w:w="1105"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财务管理制度健全性</w:t>
            </w:r>
          </w:p>
        </w:tc>
        <w:tc>
          <w:tcPr>
            <w:tcW w:w="1044"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rPr>
              <w:t>　</w:t>
            </w:r>
            <w:r>
              <w:rPr>
                <w:rFonts w:hint="eastAsia" w:ascii="宋体" w:hAnsi="宋体" w:cs="宋体"/>
                <w:color w:val="000000"/>
                <w:kern w:val="0"/>
                <w:sz w:val="20"/>
                <w:szCs w:val="20"/>
                <w:lang w:eastAsia="zh-CN"/>
              </w:rPr>
              <w:t>建立健全的财务管理制度</w:t>
            </w:r>
          </w:p>
        </w:tc>
        <w:tc>
          <w:tcPr>
            <w:tcW w:w="629"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lang w:eastAsia="zh-CN"/>
              </w:rPr>
              <w:t>财务管理健全</w:t>
            </w:r>
          </w:p>
        </w:tc>
        <w:tc>
          <w:tcPr>
            <w:tcW w:w="916" w:type="dxa"/>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w:t>
            </w:r>
          </w:p>
        </w:tc>
        <w:tc>
          <w:tcPr>
            <w:tcW w:w="916" w:type="dxa"/>
            <w:tcBorders>
              <w:top w:val="single" w:color="auto" w:sz="4" w:space="0"/>
              <w:left w:val="nil"/>
              <w:bottom w:val="single" w:color="auto" w:sz="4" w:space="0"/>
              <w:right w:val="nil"/>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0.5</w:t>
            </w:r>
            <w:r>
              <w:rPr>
                <w:rFonts w:hint="eastAsia" w:ascii="宋体" w:hAnsi="宋体" w:cs="宋体"/>
                <w:color w:val="000000"/>
                <w:kern w:val="0"/>
                <w:sz w:val="20"/>
                <w:szCs w:val="20"/>
              </w:rPr>
              <w:t>　</w:t>
            </w:r>
          </w:p>
        </w:tc>
        <w:tc>
          <w:tcPr>
            <w:tcW w:w="3629"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财务管理制度健全性:</w:t>
            </w:r>
            <w:r>
              <w:rPr>
                <w:rFonts w:hint="eastAsia" w:ascii="宋体" w:hAnsi="宋体" w:cs="宋体"/>
                <w:color w:val="000000"/>
                <w:kern w:val="0"/>
                <w:sz w:val="18"/>
                <w:szCs w:val="18"/>
              </w:rPr>
              <w:t>部门（单位）为加强财务管理、规范财务行为而制定的管理制度。</w:t>
            </w:r>
          </w:p>
        </w:tc>
        <w:tc>
          <w:tcPr>
            <w:tcW w:w="3529" w:type="dxa"/>
            <w:tcBorders>
              <w:top w:val="single" w:color="auto" w:sz="4" w:space="0"/>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①预算资金管理办法、绩效跟踪管理办法、资产管理办法等各项制度是否健全；②部门内部财务管理制度是否完整、合规；③会计核算制度是否完整、合规。每有一项不合格扣0.5分，扣完为止。</w:t>
            </w:r>
          </w:p>
        </w:tc>
      </w:tr>
      <w:tr>
        <w:tblPrEx>
          <w:tblLayout w:type="fixed"/>
          <w:tblCellMar>
            <w:top w:w="0" w:type="dxa"/>
            <w:left w:w="108" w:type="dxa"/>
            <w:bottom w:w="0" w:type="dxa"/>
            <w:right w:w="108" w:type="dxa"/>
          </w:tblCellMar>
        </w:tblPrEx>
        <w:trPr>
          <w:cantSplit/>
          <w:trHeight w:val="2220" w:hRule="atLeast"/>
        </w:trPr>
        <w:tc>
          <w:tcPr>
            <w:tcW w:w="1201" w:type="dxa"/>
            <w:vMerge w:val="continue"/>
            <w:tcBorders>
              <w:top w:val="single" w:color="auto" w:sz="4" w:space="0"/>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12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1105"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资金使用合规性和安全性</w:t>
            </w:r>
          </w:p>
        </w:tc>
        <w:tc>
          <w:tcPr>
            <w:tcW w:w="1044" w:type="dxa"/>
            <w:tcBorders>
              <w:top w:val="single" w:color="auto" w:sz="4" w:space="0"/>
              <w:left w:val="nil"/>
              <w:bottom w:val="single" w:color="auto" w:sz="4" w:space="0"/>
              <w:right w:val="single" w:color="auto" w:sz="4" w:space="0"/>
            </w:tcBorders>
            <w:noWrap w:val="0"/>
            <w:vAlign w:val="center"/>
          </w:tcPr>
          <w:p>
            <w:pPr>
              <w:widowControl/>
              <w:jc w:val="both"/>
              <w:rPr>
                <w:rFonts w:hint="eastAsia" w:ascii="宋体" w:hAnsi="宋体" w:cs="宋体"/>
                <w:color w:val="000000"/>
                <w:kern w:val="0"/>
                <w:sz w:val="20"/>
                <w:szCs w:val="20"/>
              </w:rPr>
            </w:pPr>
            <w:r>
              <w:rPr>
                <w:rFonts w:hint="eastAsia" w:ascii="宋体" w:hAnsi="宋体" w:cs="宋体"/>
                <w:color w:val="000000"/>
                <w:kern w:val="0"/>
                <w:sz w:val="20"/>
                <w:szCs w:val="20"/>
                <w:lang w:eastAsia="zh-CN"/>
              </w:rPr>
              <w:t>做到安全、合规使用预算资金</w:t>
            </w:r>
            <w:r>
              <w:rPr>
                <w:rFonts w:hint="eastAsia" w:ascii="宋体" w:hAnsi="宋体" w:cs="宋体"/>
                <w:color w:val="000000"/>
                <w:kern w:val="0"/>
                <w:sz w:val="20"/>
                <w:szCs w:val="20"/>
              </w:rPr>
              <w:t>　</w:t>
            </w:r>
          </w:p>
        </w:tc>
        <w:tc>
          <w:tcPr>
            <w:tcW w:w="629"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eastAsia="zh-CN"/>
              </w:rPr>
              <w:t>预算资金使用安全且合规</w:t>
            </w:r>
            <w:r>
              <w:rPr>
                <w:rFonts w:hint="eastAsia" w:ascii="宋体" w:hAnsi="宋体" w:cs="宋体"/>
                <w:color w:val="000000"/>
                <w:kern w:val="0"/>
                <w:sz w:val="20"/>
                <w:szCs w:val="20"/>
              </w:rPr>
              <w:t>　</w:t>
            </w:r>
          </w:p>
        </w:tc>
        <w:tc>
          <w:tcPr>
            <w:tcW w:w="916" w:type="dxa"/>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w:t>
            </w:r>
          </w:p>
        </w:tc>
        <w:tc>
          <w:tcPr>
            <w:tcW w:w="916" w:type="dxa"/>
            <w:tcBorders>
              <w:top w:val="single" w:color="auto" w:sz="4" w:space="0"/>
              <w:left w:val="nil"/>
              <w:bottom w:val="single" w:color="auto" w:sz="4" w:space="0"/>
              <w:right w:val="nil"/>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2</w:t>
            </w:r>
            <w:r>
              <w:rPr>
                <w:rFonts w:hint="eastAsia" w:ascii="宋体" w:hAnsi="宋体" w:cs="宋体"/>
                <w:color w:val="000000"/>
                <w:kern w:val="0"/>
                <w:sz w:val="20"/>
                <w:szCs w:val="20"/>
              </w:rPr>
              <w:t>　</w:t>
            </w:r>
          </w:p>
        </w:tc>
        <w:tc>
          <w:tcPr>
            <w:tcW w:w="3629"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资金使用合规性和安全性:</w:t>
            </w:r>
            <w:r>
              <w:rPr>
                <w:rFonts w:hint="eastAsia" w:ascii="宋体" w:hAnsi="宋体" w:cs="宋体"/>
                <w:color w:val="000000"/>
                <w:kern w:val="0"/>
                <w:sz w:val="18"/>
                <w:szCs w:val="18"/>
              </w:rPr>
              <w:t>部门（单位）使用预算资金是否符合相关的预算财务管理制度的规定，是否符合相关规定的开支范围，用以反映考核部门（单位）预算资金的规范运行和安全运行情况。</w:t>
            </w:r>
          </w:p>
        </w:tc>
        <w:tc>
          <w:tcPr>
            <w:tcW w:w="3529" w:type="dxa"/>
            <w:tcBorders>
              <w:top w:val="single" w:color="auto" w:sz="4" w:space="0"/>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0.5分，扣完为止。</w:t>
            </w:r>
          </w:p>
        </w:tc>
      </w:tr>
      <w:tr>
        <w:tblPrEx>
          <w:tblLayout w:type="fixed"/>
          <w:tblCellMar>
            <w:top w:w="0" w:type="dxa"/>
            <w:left w:w="108" w:type="dxa"/>
            <w:bottom w:w="0" w:type="dxa"/>
            <w:right w:w="108" w:type="dxa"/>
          </w:tblCellMar>
        </w:tblPrEx>
        <w:trPr>
          <w:cantSplit/>
          <w:trHeight w:val="410" w:hRule="atLeast"/>
        </w:trPr>
        <w:tc>
          <w:tcPr>
            <w:tcW w:w="1201"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1205"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1105" w:type="dxa"/>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会计基础信息完善性</w:t>
            </w:r>
          </w:p>
        </w:tc>
        <w:tc>
          <w:tcPr>
            <w:tcW w:w="1044"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lang w:eastAsia="zh-CN"/>
              </w:rPr>
              <w:t>保证会计基础信息的真实准确完整</w:t>
            </w:r>
            <w:r>
              <w:rPr>
                <w:rFonts w:hint="eastAsia" w:ascii="宋体" w:hAnsi="宋体" w:cs="宋体"/>
                <w:color w:val="000000"/>
                <w:kern w:val="0"/>
                <w:sz w:val="20"/>
                <w:szCs w:val="20"/>
              </w:rPr>
              <w:t>　</w:t>
            </w:r>
          </w:p>
        </w:tc>
        <w:tc>
          <w:tcPr>
            <w:tcW w:w="629" w:type="dxa"/>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eastAsia="zh-CN"/>
              </w:rPr>
              <w:t>会计基础信息完善</w:t>
            </w:r>
            <w:r>
              <w:rPr>
                <w:rFonts w:hint="eastAsia" w:ascii="宋体" w:hAnsi="宋体" w:cs="宋体"/>
                <w:color w:val="000000"/>
                <w:kern w:val="0"/>
                <w:sz w:val="20"/>
                <w:szCs w:val="20"/>
              </w:rPr>
              <w:t>　</w:t>
            </w:r>
          </w:p>
        </w:tc>
        <w:tc>
          <w:tcPr>
            <w:tcW w:w="916"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w:t>
            </w:r>
          </w:p>
        </w:tc>
        <w:tc>
          <w:tcPr>
            <w:tcW w:w="916" w:type="dxa"/>
            <w:tcBorders>
              <w:top w:val="nil"/>
              <w:left w:val="nil"/>
              <w:bottom w:val="single" w:color="auto" w:sz="4" w:space="0"/>
              <w:right w:val="nil"/>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1</w:t>
            </w:r>
            <w:r>
              <w:rPr>
                <w:rFonts w:hint="eastAsia" w:ascii="宋体" w:hAnsi="宋体" w:cs="宋体"/>
                <w:color w:val="000000"/>
                <w:kern w:val="0"/>
                <w:sz w:val="20"/>
                <w:szCs w:val="20"/>
              </w:rPr>
              <w:t>　</w:t>
            </w:r>
          </w:p>
        </w:tc>
        <w:tc>
          <w:tcPr>
            <w:tcW w:w="3629" w:type="dxa"/>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会计基础信息完善性:</w:t>
            </w:r>
            <w:r>
              <w:rPr>
                <w:rFonts w:hint="eastAsia" w:ascii="宋体" w:hAnsi="宋体" w:cs="宋体"/>
                <w:color w:val="000000"/>
                <w:kern w:val="0"/>
                <w:sz w:val="18"/>
                <w:szCs w:val="18"/>
              </w:rPr>
              <w:t>部门（单位）会计基础信息情况。</w:t>
            </w:r>
          </w:p>
        </w:tc>
        <w:tc>
          <w:tcPr>
            <w:tcW w:w="3529" w:type="dxa"/>
            <w:tcBorders>
              <w:top w:val="nil"/>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①基础数据信息和会计信息资料是否真实；②基础数据信息和会计信息资料是否完整；③基础数据信息和会计信息资料是否准确。每有一项不合格扣0.5分，扣完为止。</w:t>
            </w:r>
          </w:p>
        </w:tc>
      </w:tr>
      <w:tr>
        <w:tblPrEx>
          <w:tblLayout w:type="fixed"/>
          <w:tblCellMar>
            <w:top w:w="0" w:type="dxa"/>
            <w:left w:w="108" w:type="dxa"/>
            <w:bottom w:w="0" w:type="dxa"/>
            <w:right w:w="108" w:type="dxa"/>
          </w:tblCellMar>
        </w:tblPrEx>
        <w:trPr>
          <w:cantSplit/>
          <w:trHeight w:val="2220" w:hRule="atLeast"/>
        </w:trPr>
        <w:tc>
          <w:tcPr>
            <w:tcW w:w="1201"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120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资产管理（4）</w:t>
            </w:r>
          </w:p>
        </w:tc>
        <w:tc>
          <w:tcPr>
            <w:tcW w:w="110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资产管理规范性</w:t>
            </w:r>
          </w:p>
        </w:tc>
        <w:tc>
          <w:tcPr>
            <w:tcW w:w="1044"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rPr>
              <w:t>　</w:t>
            </w:r>
            <w:r>
              <w:rPr>
                <w:rFonts w:hint="eastAsia" w:ascii="宋体" w:hAnsi="宋体" w:cs="宋体"/>
                <w:color w:val="000000"/>
                <w:kern w:val="0"/>
                <w:sz w:val="20"/>
                <w:szCs w:val="20"/>
                <w:lang w:eastAsia="zh-CN"/>
              </w:rPr>
              <w:t>安全合理规范地处理资产</w:t>
            </w:r>
          </w:p>
        </w:tc>
        <w:tc>
          <w:tcPr>
            <w:tcW w:w="629"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lang w:eastAsia="zh-CN"/>
              </w:rPr>
              <w:t>资产管理完整规范</w:t>
            </w:r>
            <w:r>
              <w:rPr>
                <w:rFonts w:hint="eastAsia" w:ascii="宋体" w:hAnsi="宋体" w:cs="宋体"/>
                <w:color w:val="000000"/>
                <w:kern w:val="0"/>
                <w:sz w:val="20"/>
                <w:szCs w:val="20"/>
              </w:rPr>
              <w:t>　</w:t>
            </w:r>
          </w:p>
        </w:tc>
        <w:tc>
          <w:tcPr>
            <w:tcW w:w="916"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w:t>
            </w:r>
          </w:p>
        </w:tc>
        <w:tc>
          <w:tcPr>
            <w:tcW w:w="916"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3.2</w:t>
            </w:r>
            <w:r>
              <w:rPr>
                <w:rFonts w:hint="eastAsia" w:ascii="宋体" w:hAnsi="宋体" w:cs="宋体"/>
                <w:color w:val="000000"/>
                <w:kern w:val="0"/>
                <w:sz w:val="20"/>
                <w:szCs w:val="20"/>
              </w:rPr>
              <w:t>　</w:t>
            </w:r>
          </w:p>
        </w:tc>
        <w:tc>
          <w:tcPr>
            <w:tcW w:w="3629"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资产管理规范性:</w:t>
            </w:r>
            <w:r>
              <w:rPr>
                <w:rFonts w:hint="eastAsia" w:ascii="宋体" w:hAnsi="宋体" w:cs="宋体"/>
                <w:color w:val="000000"/>
                <w:kern w:val="0"/>
                <w:sz w:val="18"/>
                <w:szCs w:val="18"/>
              </w:rPr>
              <w:t>部门（单位）的资产是否保持安全完整，资产配置是否合理，资产使用和资产处理是否规范，用以反映和考核部门（单位）资产管理的整体水平。</w:t>
            </w:r>
          </w:p>
        </w:tc>
        <w:tc>
          <w:tcPr>
            <w:tcW w:w="3529"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0.8分，扣完为止。</w:t>
            </w:r>
          </w:p>
        </w:tc>
      </w:tr>
      <w:tr>
        <w:tblPrEx>
          <w:tblLayout w:type="fixed"/>
          <w:tblCellMar>
            <w:top w:w="0" w:type="dxa"/>
            <w:left w:w="108" w:type="dxa"/>
            <w:bottom w:w="0" w:type="dxa"/>
            <w:right w:w="108" w:type="dxa"/>
          </w:tblCellMar>
        </w:tblPrEx>
        <w:trPr>
          <w:cantSplit/>
          <w:trHeight w:val="1210" w:hRule="atLeast"/>
        </w:trPr>
        <w:tc>
          <w:tcPr>
            <w:tcW w:w="1201"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1205"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绩效管理（4）</w:t>
            </w:r>
          </w:p>
        </w:tc>
        <w:tc>
          <w:tcPr>
            <w:tcW w:w="1105"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绩效管理情况</w:t>
            </w:r>
          </w:p>
        </w:tc>
        <w:tc>
          <w:tcPr>
            <w:tcW w:w="1044" w:type="dxa"/>
            <w:tcBorders>
              <w:top w:val="single" w:color="auto" w:sz="4" w:space="0"/>
              <w:left w:val="nil"/>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rPr>
              <w:t>　</w:t>
            </w:r>
            <w:r>
              <w:rPr>
                <w:rFonts w:hint="eastAsia" w:ascii="宋体" w:hAnsi="宋体" w:cs="宋体"/>
                <w:color w:val="000000"/>
                <w:kern w:val="0"/>
                <w:sz w:val="20"/>
                <w:szCs w:val="20"/>
                <w:lang w:eastAsia="zh-CN"/>
              </w:rPr>
              <w:t>及时汇总整理绩效信息及时矫正</w:t>
            </w:r>
          </w:p>
        </w:tc>
        <w:tc>
          <w:tcPr>
            <w:tcW w:w="629" w:type="dxa"/>
            <w:tcBorders>
              <w:top w:val="single" w:color="auto" w:sz="4" w:space="0"/>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lang w:eastAsia="zh-CN"/>
              </w:rPr>
              <w:t>绩效信息及时汇总和矫正</w:t>
            </w:r>
            <w:r>
              <w:rPr>
                <w:rFonts w:hint="eastAsia" w:ascii="宋体" w:hAnsi="宋体" w:cs="宋体"/>
                <w:color w:val="000000"/>
                <w:kern w:val="0"/>
                <w:sz w:val="20"/>
                <w:szCs w:val="20"/>
              </w:rPr>
              <w:t>　</w:t>
            </w:r>
          </w:p>
        </w:tc>
        <w:tc>
          <w:tcPr>
            <w:tcW w:w="916"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w:t>
            </w:r>
          </w:p>
        </w:tc>
        <w:tc>
          <w:tcPr>
            <w:tcW w:w="916" w:type="dxa"/>
            <w:tcBorders>
              <w:top w:val="single" w:color="auto" w:sz="4" w:space="0"/>
              <w:left w:val="nil"/>
              <w:bottom w:val="single" w:color="auto" w:sz="4" w:space="0"/>
              <w:right w:val="nil"/>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4</w:t>
            </w:r>
            <w:r>
              <w:rPr>
                <w:rFonts w:hint="eastAsia" w:ascii="宋体" w:hAnsi="宋体" w:cs="宋体"/>
                <w:color w:val="000000"/>
                <w:kern w:val="0"/>
                <w:sz w:val="20"/>
                <w:szCs w:val="20"/>
              </w:rPr>
              <w:t>　</w:t>
            </w:r>
          </w:p>
        </w:tc>
        <w:tc>
          <w:tcPr>
            <w:tcW w:w="3629"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绩效管理情况:</w:t>
            </w:r>
            <w:r>
              <w:rPr>
                <w:rFonts w:hint="eastAsia" w:ascii="宋体" w:hAnsi="宋体" w:cs="宋体"/>
                <w:color w:val="000000"/>
                <w:kern w:val="0"/>
                <w:sz w:val="18"/>
                <w:szCs w:val="18"/>
              </w:rPr>
              <w:t>考核部门（单位）在绩效管理信息的汇总和应用情况。</w:t>
            </w:r>
          </w:p>
        </w:tc>
        <w:tc>
          <w:tcPr>
            <w:tcW w:w="3529" w:type="dxa"/>
            <w:tcBorders>
              <w:top w:val="single" w:color="auto" w:sz="4" w:space="0"/>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①部门（单位）是否及时对绩效信息进行汇总分析整理；②部门（单位）是否对绩效目标偏离情况及时进行矫正。每有一项不合格扣2分。</w:t>
            </w:r>
          </w:p>
        </w:tc>
      </w:tr>
      <w:tr>
        <w:tblPrEx>
          <w:tblLayout w:type="fixed"/>
          <w:tblCellMar>
            <w:top w:w="0" w:type="dxa"/>
            <w:left w:w="108" w:type="dxa"/>
            <w:bottom w:w="0" w:type="dxa"/>
            <w:right w:w="108" w:type="dxa"/>
          </w:tblCellMar>
        </w:tblPrEx>
        <w:trPr>
          <w:cantSplit/>
          <w:trHeight w:val="394" w:hRule="atLeast"/>
        </w:trPr>
        <w:tc>
          <w:tcPr>
            <w:tcW w:w="1201"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1205"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　</w:t>
            </w:r>
          </w:p>
        </w:tc>
        <w:tc>
          <w:tcPr>
            <w:tcW w:w="2149" w:type="dxa"/>
            <w:gridSpan w:val="2"/>
            <w:tcBorders>
              <w:top w:val="single" w:color="auto" w:sz="4" w:space="0"/>
              <w:left w:val="nil"/>
              <w:bottom w:val="single" w:color="auto" w:sz="4" w:space="0"/>
              <w:right w:val="single" w:color="000000"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r>
              <w:rPr>
                <w:rFonts w:hint="eastAsia" w:ascii="宋体" w:hAnsi="宋体" w:cs="宋体"/>
                <w:color w:val="000000"/>
                <w:kern w:val="0"/>
                <w:sz w:val="20"/>
                <w:szCs w:val="20"/>
                <w:lang w:val="en-US" w:eastAsia="zh-CN"/>
              </w:rPr>
              <w:t>21</w:t>
            </w:r>
            <w:r>
              <w:rPr>
                <w:rFonts w:hint="eastAsia" w:ascii="宋体" w:hAnsi="宋体" w:cs="宋体"/>
                <w:color w:val="000000"/>
                <w:kern w:val="0"/>
                <w:sz w:val="20"/>
                <w:szCs w:val="20"/>
              </w:rPr>
              <w:t>年</w:t>
            </w:r>
          </w:p>
        </w:tc>
        <w:tc>
          <w:tcPr>
            <w:tcW w:w="629"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202</w:t>
            </w:r>
            <w:r>
              <w:rPr>
                <w:rFonts w:hint="eastAsia" w:ascii="宋体" w:hAnsi="宋体" w:cs="宋体"/>
                <w:color w:val="000000"/>
                <w:kern w:val="0"/>
                <w:sz w:val="20"/>
                <w:szCs w:val="20"/>
                <w:lang w:val="en-US" w:eastAsia="zh-CN"/>
              </w:rPr>
              <w:t>2</w:t>
            </w:r>
            <w:r>
              <w:rPr>
                <w:rFonts w:hint="eastAsia" w:ascii="宋体" w:hAnsi="宋体" w:cs="宋体"/>
                <w:color w:val="000000"/>
                <w:kern w:val="0"/>
                <w:sz w:val="20"/>
                <w:szCs w:val="20"/>
              </w:rPr>
              <w:t>年</w:t>
            </w:r>
          </w:p>
        </w:tc>
        <w:tc>
          <w:tcPr>
            <w:tcW w:w="916"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916"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c>
          <w:tcPr>
            <w:tcW w:w="362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bCs/>
                <w:color w:val="000000"/>
                <w:kern w:val="0"/>
                <w:sz w:val="18"/>
                <w:szCs w:val="18"/>
              </w:rPr>
              <w:t>指标</w:t>
            </w:r>
            <w:r>
              <w:rPr>
                <w:rFonts w:ascii="宋体" w:hAnsi="宋体" w:cs="宋体"/>
                <w:bCs/>
                <w:color w:val="000000"/>
                <w:kern w:val="0"/>
                <w:sz w:val="18"/>
                <w:szCs w:val="18"/>
              </w:rPr>
              <w:t>解释</w:t>
            </w:r>
          </w:p>
        </w:tc>
        <w:tc>
          <w:tcPr>
            <w:tcW w:w="3529" w:type="dxa"/>
            <w:tcBorders>
              <w:top w:val="single" w:color="auto" w:sz="4" w:space="0"/>
              <w:left w:val="nil"/>
              <w:bottom w:val="single" w:color="auto" w:sz="4" w:space="0"/>
              <w:right w:val="single" w:color="auto" w:sz="4" w:space="0"/>
            </w:tcBorders>
            <w:noWrap w:val="0"/>
            <w:vAlign w:val="center"/>
          </w:tcPr>
          <w:p>
            <w:pPr>
              <w:widowControl/>
              <w:jc w:val="center"/>
              <w:rPr>
                <w:rFonts w:eastAsia="Times New Roman"/>
                <w:kern w:val="0"/>
                <w:sz w:val="20"/>
                <w:szCs w:val="20"/>
              </w:rPr>
            </w:pPr>
            <w:r>
              <w:rPr>
                <w:rFonts w:hint="eastAsia" w:ascii="宋体" w:hAnsi="宋体" w:cs="宋体"/>
                <w:color w:val="000000"/>
                <w:kern w:val="0"/>
                <w:sz w:val="18"/>
                <w:szCs w:val="18"/>
              </w:rPr>
              <w:t>评</w:t>
            </w:r>
            <w:r>
              <w:rPr>
                <w:rFonts w:ascii="宋体" w:hAnsi="宋体" w:cs="宋体"/>
                <w:color w:val="000000"/>
                <w:kern w:val="0"/>
                <w:sz w:val="18"/>
                <w:szCs w:val="18"/>
              </w:rPr>
              <w:t>分标准</w:t>
            </w:r>
          </w:p>
        </w:tc>
      </w:tr>
      <w:tr>
        <w:tblPrEx>
          <w:tblLayout w:type="fixed"/>
          <w:tblCellMar>
            <w:top w:w="0" w:type="dxa"/>
            <w:left w:w="108" w:type="dxa"/>
            <w:bottom w:w="0" w:type="dxa"/>
            <w:right w:w="108" w:type="dxa"/>
          </w:tblCellMar>
        </w:tblPrEx>
        <w:trPr>
          <w:cantSplit/>
          <w:trHeight w:val="2229" w:hRule="atLeast"/>
        </w:trPr>
        <w:tc>
          <w:tcPr>
            <w:tcW w:w="1201"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1205" w:type="dxa"/>
            <w:tcBorders>
              <w:top w:val="nil"/>
              <w:left w:val="nil"/>
              <w:bottom w:val="single" w:color="auto" w:sz="4" w:space="0"/>
              <w:right w:val="single" w:color="auto" w:sz="4" w:space="0"/>
            </w:tcBorders>
            <w:noWrap w:val="0"/>
            <w:vAlign w:val="center"/>
          </w:tcPr>
          <w:p>
            <w:pPr>
              <w:widowControl/>
              <w:rPr>
                <w:rFonts w:ascii="宋体" w:hAnsi="宋体" w:cs="宋体"/>
                <w:color w:val="000000"/>
                <w:kern w:val="0"/>
                <w:sz w:val="20"/>
                <w:szCs w:val="20"/>
              </w:rPr>
            </w:pPr>
            <w:r>
              <w:rPr>
                <w:rFonts w:hint="eastAsia" w:ascii="宋体" w:hAnsi="宋体" w:cs="宋体"/>
                <w:color w:val="000000"/>
                <w:kern w:val="0"/>
                <w:sz w:val="20"/>
                <w:szCs w:val="20"/>
              </w:rPr>
              <w:t>结转结余率（4）</w:t>
            </w:r>
          </w:p>
        </w:tc>
        <w:tc>
          <w:tcPr>
            <w:tcW w:w="2149" w:type="dxa"/>
            <w:gridSpan w:val="2"/>
            <w:tcBorders>
              <w:top w:val="single" w:color="auto" w:sz="4" w:space="0"/>
              <w:left w:val="nil"/>
              <w:bottom w:val="single" w:color="auto" w:sz="4" w:space="0"/>
              <w:right w:val="single" w:color="000000" w:sz="4" w:space="0"/>
            </w:tcBorders>
            <w:noWrap w:val="0"/>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7.89%</w:t>
            </w:r>
          </w:p>
        </w:tc>
        <w:tc>
          <w:tcPr>
            <w:tcW w:w="629" w:type="dxa"/>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4.42%</w:t>
            </w:r>
          </w:p>
        </w:tc>
        <w:tc>
          <w:tcPr>
            <w:tcW w:w="916" w:type="dxa"/>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w:t>
            </w:r>
          </w:p>
        </w:tc>
        <w:tc>
          <w:tcPr>
            <w:tcW w:w="916" w:type="dxa"/>
            <w:tcBorders>
              <w:top w:val="nil"/>
              <w:left w:val="nil"/>
              <w:bottom w:val="single" w:color="auto" w:sz="4" w:space="0"/>
              <w:right w:val="nil"/>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4</w:t>
            </w:r>
            <w:r>
              <w:rPr>
                <w:rFonts w:hint="eastAsia" w:ascii="宋体" w:hAnsi="宋体" w:cs="宋体"/>
                <w:color w:val="000000"/>
                <w:kern w:val="0"/>
                <w:sz w:val="20"/>
                <w:szCs w:val="20"/>
              </w:rPr>
              <w:t>　</w:t>
            </w:r>
          </w:p>
        </w:tc>
        <w:tc>
          <w:tcPr>
            <w:tcW w:w="3629"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结转结余率=结转结余总额/支出预算数×100%。</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结转结余总额：部门（单位）本年度的结转资金与结余资金之和。</w:t>
            </w:r>
          </w:p>
        </w:tc>
        <w:tc>
          <w:tcPr>
            <w:tcW w:w="3529" w:type="dxa"/>
            <w:tcBorders>
              <w:top w:val="single" w:color="auto" w:sz="4" w:space="0"/>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部门结转结余率低于上年的不扣分；高于上年结余率，每高出1个百分点扣0.4分，扣完为止。（说明：预算调整和结转结余指标，如非预算部门主观因素导致扣分的，在评分结果征求意见环节，经与相关部门预算主管处室共同研究，可作为例外情况酌情考虑。）</w:t>
            </w:r>
          </w:p>
        </w:tc>
      </w:tr>
      <w:tr>
        <w:tblPrEx>
          <w:tblLayout w:type="fixed"/>
          <w:tblCellMar>
            <w:top w:w="0" w:type="dxa"/>
            <w:left w:w="108" w:type="dxa"/>
            <w:bottom w:w="0" w:type="dxa"/>
            <w:right w:w="108" w:type="dxa"/>
          </w:tblCellMar>
        </w:tblPrEx>
        <w:trPr>
          <w:cantSplit/>
          <w:trHeight w:val="981" w:hRule="atLeast"/>
        </w:trPr>
        <w:tc>
          <w:tcPr>
            <w:tcW w:w="1201"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1205" w:type="dxa"/>
            <w:tcBorders>
              <w:top w:val="nil"/>
              <w:left w:val="nil"/>
              <w:bottom w:val="single" w:color="auto" w:sz="4" w:space="0"/>
              <w:right w:val="single" w:color="auto" w:sz="4" w:space="0"/>
            </w:tcBorders>
            <w:noWrap w:val="0"/>
            <w:vAlign w:val="center"/>
          </w:tcPr>
          <w:p>
            <w:pPr>
              <w:widowControl/>
              <w:rPr>
                <w:rFonts w:hint="eastAsia" w:ascii="宋体" w:hAnsi="宋体" w:cs="宋体"/>
                <w:color w:val="000000"/>
                <w:kern w:val="0"/>
                <w:sz w:val="20"/>
                <w:szCs w:val="20"/>
              </w:rPr>
            </w:pPr>
            <w:r>
              <w:rPr>
                <w:rFonts w:hint="eastAsia" w:ascii="宋体" w:hAnsi="宋体" w:cs="宋体"/>
                <w:color w:val="000000"/>
                <w:kern w:val="0"/>
                <w:sz w:val="20"/>
                <w:szCs w:val="20"/>
              </w:rPr>
              <w:t>部门预决算差异率（4）</w:t>
            </w:r>
          </w:p>
        </w:tc>
        <w:tc>
          <w:tcPr>
            <w:tcW w:w="2149" w:type="dxa"/>
            <w:gridSpan w:val="2"/>
            <w:tcBorders>
              <w:top w:val="single" w:color="auto" w:sz="4" w:space="0"/>
              <w:left w:val="nil"/>
              <w:bottom w:val="single" w:color="auto" w:sz="4" w:space="0"/>
              <w:right w:val="nil"/>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629" w:type="dxa"/>
            <w:tcBorders>
              <w:top w:val="nil"/>
              <w:left w:val="single" w:color="auto" w:sz="4" w:space="0"/>
              <w:bottom w:val="single" w:color="auto" w:sz="4" w:space="0"/>
              <w:right w:val="single" w:color="auto" w:sz="4" w:space="0"/>
            </w:tcBorders>
            <w:noWrap w:val="0"/>
            <w:vAlign w:val="center"/>
          </w:tcPr>
          <w:p>
            <w:pPr>
              <w:widowControl/>
              <w:jc w:val="left"/>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4.42%</w:t>
            </w:r>
          </w:p>
        </w:tc>
        <w:tc>
          <w:tcPr>
            <w:tcW w:w="916" w:type="dxa"/>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w:t>
            </w:r>
          </w:p>
        </w:tc>
        <w:tc>
          <w:tcPr>
            <w:tcW w:w="916" w:type="dxa"/>
            <w:tcBorders>
              <w:top w:val="nil"/>
              <w:left w:val="nil"/>
              <w:bottom w:val="single" w:color="auto" w:sz="4" w:space="0"/>
              <w:right w:val="nil"/>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4</w:t>
            </w:r>
            <w:r>
              <w:rPr>
                <w:rFonts w:hint="eastAsia" w:ascii="宋体" w:hAnsi="宋体" w:cs="宋体"/>
                <w:color w:val="000000"/>
                <w:kern w:val="0"/>
                <w:sz w:val="20"/>
                <w:szCs w:val="20"/>
              </w:rPr>
              <w:t>　</w:t>
            </w:r>
          </w:p>
        </w:tc>
        <w:tc>
          <w:tcPr>
            <w:tcW w:w="3629" w:type="dxa"/>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通过年度部门决算与年初部门预算对比，对部门的年度支出情况进行考核，衡量部门预算的约束力。</w:t>
            </w:r>
          </w:p>
        </w:tc>
        <w:tc>
          <w:tcPr>
            <w:tcW w:w="3529" w:type="dxa"/>
            <w:tcBorders>
              <w:top w:val="nil"/>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部门预决算差异率高于市级平均差异率（28.3%）的，每高出10%（含），扣0.4分，扣完为止。</w:t>
            </w:r>
          </w:p>
        </w:tc>
      </w:tr>
      <w:tr>
        <w:tblPrEx>
          <w:tblLayout w:type="fixed"/>
          <w:tblCellMar>
            <w:top w:w="0" w:type="dxa"/>
            <w:left w:w="108" w:type="dxa"/>
            <w:bottom w:w="0" w:type="dxa"/>
            <w:right w:w="108" w:type="dxa"/>
          </w:tblCellMar>
        </w:tblPrEx>
        <w:trPr>
          <w:cantSplit/>
          <w:trHeight w:val="484" w:hRule="atLeast"/>
        </w:trPr>
        <w:tc>
          <w:tcPr>
            <w:tcW w:w="5184" w:type="dxa"/>
            <w:gridSpan w:val="5"/>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合计</w:t>
            </w:r>
          </w:p>
        </w:tc>
        <w:tc>
          <w:tcPr>
            <w:tcW w:w="916" w:type="dxa"/>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916" w:type="dxa"/>
            <w:tcBorders>
              <w:top w:val="nil"/>
              <w:left w:val="nil"/>
              <w:bottom w:val="single" w:color="auto" w:sz="4" w:space="0"/>
              <w:right w:val="nil"/>
            </w:tcBorders>
            <w:noWrap w:val="0"/>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95.7</w:t>
            </w:r>
          </w:p>
        </w:tc>
        <w:tc>
          <w:tcPr>
            <w:tcW w:w="7158" w:type="dxa"/>
            <w:gridSpan w:val="2"/>
            <w:tcBorders>
              <w:top w:val="single" w:color="auto" w:sz="4" w:space="0"/>
              <w:left w:val="single" w:color="auto" w:sz="4" w:space="0"/>
              <w:bottom w:val="single" w:color="auto" w:sz="4" w:space="0"/>
              <w:right w:val="single" w:color="000000" w:sz="4" w:space="0"/>
            </w:tcBorders>
            <w:noWrap w:val="0"/>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　</w:t>
            </w:r>
          </w:p>
        </w:tc>
      </w:tr>
    </w:tbl>
    <w:p>
      <w:pPr>
        <w:keepNext w:val="0"/>
        <w:keepLines w:val="0"/>
        <w:pageBreakBefore w:val="0"/>
        <w:widowControl w:val="0"/>
        <w:kinsoku/>
        <w:wordWrap/>
        <w:overflowPunct/>
        <w:topLinePunct w:val="0"/>
        <w:autoSpaceDE/>
        <w:autoSpaceDN/>
        <w:bidi w:val="0"/>
        <w:adjustRightInd/>
        <w:snapToGrid/>
        <w:spacing w:line="20" w:lineRule="exact"/>
        <w:textAlignment w:val="auto"/>
        <w:rPr>
          <w:rFonts w:hint="eastAsia" w:ascii="方正小标宋简体" w:eastAsia="方正小标宋简体"/>
          <w:sz w:val="36"/>
          <w:szCs w:val="36"/>
        </w:rPr>
      </w:pPr>
    </w:p>
    <w:bookmarkEnd w:id="1"/>
    <w:sectPr>
      <w:footerReference r:id="rId4" w:type="default"/>
      <w:pgSz w:w="16838" w:h="11906" w:orient="landscape"/>
      <w:pgMar w:top="1800" w:right="1440" w:bottom="1800" w:left="144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Arial Unicode MS"/>
    <w:panose1 w:val="02000000000000000000"/>
    <w:charset w:val="86"/>
    <w:family w:val="auto"/>
    <w:pitch w:val="default"/>
    <w:sig w:usb0="00000000" w:usb1="00000000"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方正黑体_GBK">
    <w:altName w:val="Arial Unicode MS"/>
    <w:panose1 w:val="02000000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jc w:val="center"/>
      <w:rPr>
        <w:sz w:val="21"/>
        <w:szCs w:val="21"/>
      </w:rP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- 1 -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3</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C470421"/>
    <w:multiLevelType w:val="singleLevel"/>
    <w:tmpl w:val="FC470421"/>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77F09F4"/>
    <w:rsid w:val="07C31DE3"/>
    <w:rsid w:val="175F53D8"/>
    <w:rsid w:val="1BD11BA1"/>
    <w:rsid w:val="2F1679F4"/>
    <w:rsid w:val="31AC59A2"/>
    <w:rsid w:val="37173543"/>
    <w:rsid w:val="3B0C5B8A"/>
    <w:rsid w:val="3D726C9E"/>
    <w:rsid w:val="3EC75607"/>
    <w:rsid w:val="3FDBA076"/>
    <w:rsid w:val="3FDFB3F0"/>
    <w:rsid w:val="3FDFC9A6"/>
    <w:rsid w:val="3FF76880"/>
    <w:rsid w:val="429D5C20"/>
    <w:rsid w:val="5BFD4AC2"/>
    <w:rsid w:val="67759716"/>
    <w:rsid w:val="6F7ED27B"/>
    <w:rsid w:val="75B17A7C"/>
    <w:rsid w:val="7AB7FF50"/>
    <w:rsid w:val="7AEAF641"/>
    <w:rsid w:val="7BAD2729"/>
    <w:rsid w:val="7BFEB0DB"/>
    <w:rsid w:val="7FFF4E81"/>
    <w:rsid w:val="7FFFD0D3"/>
    <w:rsid w:val="8716660E"/>
    <w:rsid w:val="A3AA735E"/>
    <w:rsid w:val="A75D4892"/>
    <w:rsid w:val="AFFFCE02"/>
    <w:rsid w:val="CEFD3F3D"/>
    <w:rsid w:val="D6B22E60"/>
    <w:rsid w:val="EA3F77F2"/>
    <w:rsid w:val="EEFE5989"/>
    <w:rsid w:val="EFCF3EAE"/>
    <w:rsid w:val="F4FDEB06"/>
    <w:rsid w:val="F5B764A2"/>
    <w:rsid w:val="F77F09F4"/>
    <w:rsid w:val="FBFF6E65"/>
    <w:rsid w:val="FEEF6AA0"/>
    <w:rsid w:val="FFB792B8"/>
    <w:rsid w:val="FFD7BFFC"/>
    <w:rsid w:val="FFFA6B0F"/>
    <w:rsid w:val="FFFFB6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spacing w:line="600" w:lineRule="exact"/>
      <w:ind w:firstLine="640"/>
      <w:outlineLvl w:val="0"/>
    </w:pPr>
    <w:rPr>
      <w:rFonts w:ascii="黑体" w:hAnsi="黑体" w:eastAsia="黑体" w:cs="宋体"/>
      <w:color w:val="000000"/>
      <w:kern w:val="0"/>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7">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4">
    <w:name w:val="footer"/>
    <w:basedOn w:val="1"/>
    <w:qFormat/>
    <w:uiPriority w:val="99"/>
    <w:pPr>
      <w:tabs>
        <w:tab w:val="center" w:pos="4153"/>
        <w:tab w:val="right" w:pos="8306"/>
      </w:tabs>
      <w:snapToGrid w:val="0"/>
      <w:jc w:val="left"/>
    </w:pPr>
    <w:rPr>
      <w:sz w:val="18"/>
      <w:szCs w:val="20"/>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列出段落1"/>
    <w:basedOn w:val="1"/>
    <w:qFormat/>
    <w:uiPriority w:val="34"/>
    <w:pPr>
      <w:ind w:firstLine="420" w:firstLineChars="200"/>
    </w:pPr>
    <w:rPr>
      <w:rFonts w:ascii="Calibri" w:hAnsi="Calibri" w:cs="黑体"/>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20</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2022-03-14T19:16:00Z</dcterms:created>
  <dc:creator>user</dc:creator>
  <cp:lastModifiedBy>dell</cp:lastModifiedBy>
  <cp:lastPrinted>2023-03-06T01:31:00Z</cp:lastPrinted>
  <dcterms:modified xsi:type="dcterms:W3CDTF">2023-08-17T01:36:52Z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