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b/>
          <w:bCs/>
          <w:sz w:val="10"/>
          <w:szCs w:val="13"/>
        </w:rPr>
      </w:pPr>
      <w:r>
        <w:rPr>
          <w:rFonts w:hint="eastAsia" w:ascii="宋体" w:hAnsi="宋体" w:cs="宋体"/>
          <w:b/>
          <w:bCs/>
          <w:sz w:val="44"/>
          <w:szCs w:val="44"/>
        </w:rPr>
        <w:t>北京市财政支出项目绩效评价报告</w:t>
      </w:r>
    </w:p>
    <w:p>
      <w:pPr>
        <w:jc w:val="center"/>
        <w:rPr>
          <w:rFonts w:eastAsia="黑体"/>
          <w:sz w:val="30"/>
          <w:szCs w:val="30"/>
        </w:rPr>
      </w:pPr>
      <w:r>
        <w:rPr>
          <w:rFonts w:hint="eastAsia" w:ascii="宋体" w:hAnsi="宋体" w:cs="宋体"/>
          <w:sz w:val="22"/>
          <w:szCs w:val="28"/>
        </w:rPr>
        <w:t xml:space="preserve">                </w:t>
      </w:r>
      <w:r>
        <w:rPr>
          <w:rFonts w:ascii="宋体" w:hAnsi="宋体" w:cs="宋体"/>
          <w:sz w:val="22"/>
          <w:szCs w:val="28"/>
        </w:rPr>
        <w:t xml:space="preserve">  </w:t>
      </w:r>
      <w:r>
        <w:rPr>
          <w:rFonts w:ascii="宋体" w:hAnsi="宋体" w:cs="宋体"/>
          <w:sz w:val="28"/>
          <w:szCs w:val="28"/>
        </w:rPr>
        <w:t xml:space="preserve"> </w:t>
      </w:r>
      <w:r>
        <w:rPr>
          <w:rFonts w:hint="eastAsia" w:ascii="宋体" w:hAnsi="宋体" w:cs="宋体"/>
          <w:sz w:val="28"/>
          <w:szCs w:val="28"/>
        </w:rPr>
        <w:t xml:space="preserve">              </w:t>
      </w:r>
      <w:r>
        <w:rPr>
          <w:rFonts w:eastAsia="黑体"/>
          <w:sz w:val="30"/>
          <w:szCs w:val="30"/>
        </w:rPr>
        <w:t xml:space="preserve"> </w:t>
      </w:r>
    </w:p>
    <w:p>
      <w:pPr>
        <w:jc w:val="center"/>
        <w:rPr>
          <w:rFonts w:eastAsia="黑体"/>
          <w:sz w:val="30"/>
          <w:szCs w:val="30"/>
        </w:rPr>
      </w:pPr>
    </w:p>
    <w:p>
      <w:pPr>
        <w:jc w:val="center"/>
        <w:rPr>
          <w:rFonts w:eastAsia="黑体"/>
          <w:sz w:val="30"/>
          <w:szCs w:val="30"/>
        </w:rPr>
      </w:pPr>
    </w:p>
    <w:p>
      <w:pPr>
        <w:jc w:val="center"/>
        <w:rPr>
          <w:rFonts w:eastAsia="黑体"/>
          <w:sz w:val="30"/>
          <w:szCs w:val="30"/>
        </w:rPr>
      </w:pPr>
    </w:p>
    <w:p>
      <w:pPr>
        <w:jc w:val="center"/>
        <w:rPr>
          <w:rFonts w:ascii="宋体"/>
          <w:sz w:val="32"/>
          <w:szCs w:val="32"/>
        </w:rPr>
      </w:pPr>
    </w:p>
    <w:p>
      <w:pPr>
        <w:jc w:val="center"/>
        <w:rPr>
          <w:rFonts w:ascii="宋体"/>
          <w:sz w:val="32"/>
          <w:szCs w:val="32"/>
        </w:rPr>
      </w:pPr>
    </w:p>
    <w:p>
      <w:pPr>
        <w:rPr>
          <w:rFonts w:hint="eastAsia" w:ascii="宋体" w:hAnsi="宋体" w:cs="宋体"/>
          <w:sz w:val="32"/>
          <w:szCs w:val="32"/>
        </w:rPr>
      </w:pPr>
    </w:p>
    <w:p>
      <w:pPr>
        <w:rPr>
          <w:rFonts w:ascii="宋体"/>
          <w:sz w:val="32"/>
          <w:szCs w:val="32"/>
          <w:u w:val="single"/>
        </w:rPr>
      </w:pPr>
      <w:r>
        <w:rPr>
          <w:rFonts w:hint="eastAsia" w:ascii="宋体" w:hAnsi="宋体" w:cs="宋体"/>
          <w:sz w:val="32"/>
          <w:szCs w:val="32"/>
        </w:rPr>
        <w:t xml:space="preserve">项目单位: </w:t>
      </w:r>
      <w:r>
        <w:rPr>
          <w:rFonts w:ascii="宋体" w:hAnsi="宋体" w:cs="宋体"/>
          <w:sz w:val="32"/>
          <w:szCs w:val="32"/>
          <w:u w:val="single"/>
        </w:rPr>
        <w:t xml:space="preserve">     </w:t>
      </w:r>
      <w:r>
        <w:rPr>
          <w:rFonts w:hint="eastAsia" w:ascii="宋体" w:hAnsi="宋体" w:cs="宋体"/>
          <w:sz w:val="32"/>
          <w:szCs w:val="32"/>
          <w:u w:val="single"/>
        </w:rPr>
        <w:t xml:space="preserve">北京市昌平区人民检察院      </w:t>
      </w:r>
      <w:r>
        <w:rPr>
          <w:rFonts w:ascii="宋体" w:hAnsi="宋体" w:cs="宋体"/>
          <w:sz w:val="32"/>
          <w:szCs w:val="32"/>
          <w:u w:val="single"/>
        </w:rPr>
        <w:t xml:space="preserve">  </w:t>
      </w:r>
      <w:r>
        <w:rPr>
          <w:rFonts w:hint="eastAsia" w:ascii="宋体" w:hAnsi="宋体" w:cs="宋体"/>
          <w:sz w:val="32"/>
          <w:szCs w:val="32"/>
          <w:u w:val="single"/>
        </w:rPr>
        <w:t xml:space="preserve">   </w:t>
      </w:r>
    </w:p>
    <w:p>
      <w:pPr>
        <w:tabs>
          <w:tab w:val="left" w:pos="2520"/>
          <w:tab w:val="left" w:pos="7920"/>
        </w:tabs>
        <w:rPr>
          <w:rFonts w:ascii="宋体"/>
          <w:sz w:val="32"/>
          <w:szCs w:val="32"/>
          <w:u w:val="single"/>
        </w:rPr>
      </w:pPr>
      <w:r>
        <w:rPr>
          <w:rFonts w:hint="eastAsia" w:ascii="宋体" w:hAnsi="宋体" w:cs="宋体"/>
          <w:sz w:val="32"/>
          <w:szCs w:val="32"/>
        </w:rPr>
        <w:t>项目名称：</w:t>
      </w:r>
      <w:r>
        <w:rPr>
          <w:rFonts w:ascii="宋体" w:hAnsi="宋体" w:cs="宋体"/>
          <w:sz w:val="32"/>
          <w:szCs w:val="32"/>
          <w:u w:val="single"/>
        </w:rPr>
        <w:t xml:space="preserve">     </w:t>
      </w:r>
      <w:r>
        <w:rPr>
          <w:rFonts w:hint="eastAsia" w:ascii="宋体" w:hAnsi="宋体" w:cs="宋体"/>
          <w:sz w:val="32"/>
          <w:szCs w:val="32"/>
          <w:u w:val="single"/>
        </w:rPr>
        <w:t xml:space="preserve">信息化运维                   </w:t>
      </w:r>
      <w:r>
        <w:rPr>
          <w:rFonts w:ascii="宋体" w:hAnsi="宋体" w:cs="宋体"/>
          <w:sz w:val="32"/>
          <w:szCs w:val="32"/>
          <w:u w:val="single"/>
        </w:rPr>
        <w:t xml:space="preserve">    </w:t>
      </w:r>
    </w:p>
    <w:p>
      <w:pPr>
        <w:rPr>
          <w:rFonts w:hint="eastAsia" w:ascii="宋体" w:hAnsi="宋体" w:cs="宋体"/>
          <w:sz w:val="32"/>
          <w:szCs w:val="32"/>
          <w:u w:val="single"/>
        </w:rPr>
      </w:pPr>
      <w:r>
        <w:rPr>
          <w:rFonts w:hint="eastAsia" w:ascii="宋体" w:hAnsi="宋体" w:cs="宋体"/>
          <w:sz w:val="32"/>
          <w:szCs w:val="32"/>
        </w:rPr>
        <w:t>评价机构：</w:t>
      </w:r>
      <w:r>
        <w:rPr>
          <w:rFonts w:ascii="宋体" w:hAnsi="宋体" w:cs="宋体"/>
          <w:sz w:val="32"/>
          <w:szCs w:val="32"/>
          <w:u w:val="single"/>
        </w:rPr>
        <w:t xml:space="preserve">     </w:t>
      </w:r>
      <w:r>
        <w:rPr>
          <w:rFonts w:hint="eastAsia" w:ascii="宋体" w:hAnsi="宋体" w:cs="宋体"/>
          <w:sz w:val="32"/>
          <w:szCs w:val="32"/>
          <w:u w:val="single"/>
        </w:rPr>
        <w:t>北京国创</w:t>
      </w:r>
      <w:r>
        <w:rPr>
          <w:rFonts w:hint="eastAsia" w:ascii="宋体" w:hAnsi="宋体" w:cs="宋体"/>
          <w:sz w:val="32"/>
          <w:szCs w:val="32"/>
          <w:u w:val="single"/>
          <w:lang w:eastAsia="zh-CN"/>
        </w:rPr>
        <w:t>恒鑫会计服务</w:t>
      </w:r>
      <w:r>
        <w:rPr>
          <w:rFonts w:hint="eastAsia" w:ascii="宋体" w:hAnsi="宋体" w:cs="宋体"/>
          <w:sz w:val="32"/>
          <w:szCs w:val="32"/>
          <w:u w:val="single"/>
        </w:rPr>
        <w:t xml:space="preserve">有限公司   </w:t>
      </w:r>
      <w:r>
        <w:rPr>
          <w:rFonts w:ascii="宋体" w:hAnsi="宋体" w:cs="宋体"/>
          <w:sz w:val="32"/>
          <w:szCs w:val="32"/>
          <w:u w:val="single"/>
        </w:rPr>
        <w:t xml:space="preserve">  </w:t>
      </w:r>
    </w:p>
    <w:p>
      <w:pPr>
        <w:rPr>
          <w:rFonts w:ascii="宋体"/>
          <w:sz w:val="32"/>
          <w:szCs w:val="32"/>
        </w:rPr>
      </w:pPr>
      <w:r>
        <w:rPr>
          <w:rFonts w:hint="eastAsia" w:ascii="宋体" w:hAnsi="宋体" w:cs="宋体"/>
          <w:sz w:val="32"/>
          <w:szCs w:val="32"/>
        </w:rPr>
        <w:t>评价时间：</w:t>
      </w:r>
      <w:r>
        <w:rPr>
          <w:rFonts w:hint="eastAsia" w:ascii="宋体" w:hAnsi="宋体" w:cs="宋体"/>
          <w:sz w:val="32"/>
          <w:szCs w:val="32"/>
          <w:u w:val="single"/>
        </w:rPr>
        <w:t xml:space="preserve">     202</w:t>
      </w:r>
      <w:r>
        <w:rPr>
          <w:rFonts w:hint="eastAsia" w:ascii="宋体" w:hAnsi="宋体" w:cs="宋体"/>
          <w:sz w:val="32"/>
          <w:szCs w:val="32"/>
          <w:u w:val="single"/>
          <w:lang w:val="en-US" w:eastAsia="zh-CN"/>
        </w:rPr>
        <w:t>3</w:t>
      </w:r>
      <w:r>
        <w:rPr>
          <w:rFonts w:hint="eastAsia" w:ascii="宋体" w:hAnsi="宋体" w:cs="宋体"/>
          <w:sz w:val="32"/>
          <w:szCs w:val="32"/>
          <w:u w:val="single"/>
        </w:rPr>
        <w:t>年</w:t>
      </w:r>
      <w:r>
        <w:rPr>
          <w:rFonts w:hint="eastAsia" w:ascii="宋体" w:hAnsi="宋体" w:cs="宋体"/>
          <w:sz w:val="32"/>
          <w:szCs w:val="32"/>
          <w:u w:val="single"/>
          <w:lang w:val="en-US" w:eastAsia="zh-CN"/>
        </w:rPr>
        <w:t>5</w:t>
      </w:r>
      <w:r>
        <w:rPr>
          <w:rFonts w:hint="eastAsia" w:ascii="宋体" w:hAnsi="宋体" w:cs="宋体"/>
          <w:sz w:val="32"/>
          <w:szCs w:val="32"/>
          <w:u w:val="single"/>
        </w:rPr>
        <w:t>月</w:t>
      </w:r>
      <w:r>
        <w:rPr>
          <w:rFonts w:hint="eastAsia" w:ascii="宋体" w:hAnsi="宋体" w:cs="宋体"/>
          <w:sz w:val="32"/>
          <w:szCs w:val="32"/>
          <w:u w:val="single"/>
          <w:lang w:val="en-US" w:eastAsia="zh-CN"/>
        </w:rPr>
        <w:t>5</w:t>
      </w:r>
      <w:r>
        <w:rPr>
          <w:rFonts w:hint="eastAsia" w:ascii="宋体" w:hAnsi="宋体" w:cs="宋体"/>
          <w:sz w:val="32"/>
          <w:szCs w:val="32"/>
          <w:u w:val="single"/>
        </w:rPr>
        <w:t>日</w:t>
      </w:r>
      <w:r>
        <w:rPr>
          <w:rFonts w:ascii="宋体" w:hAnsi="宋体" w:cs="宋体"/>
          <w:sz w:val="32"/>
          <w:szCs w:val="32"/>
          <w:u w:val="single"/>
        </w:rPr>
        <w:t>—</w:t>
      </w:r>
      <w:r>
        <w:rPr>
          <w:rFonts w:hint="eastAsia" w:ascii="宋体" w:hAnsi="宋体" w:cs="宋体"/>
          <w:sz w:val="32"/>
          <w:szCs w:val="32"/>
          <w:u w:val="single"/>
          <w:lang w:val="en-US" w:eastAsia="zh-CN"/>
        </w:rPr>
        <w:t>5</w:t>
      </w:r>
      <w:r>
        <w:rPr>
          <w:rFonts w:hint="eastAsia" w:ascii="宋体" w:hAnsi="宋体" w:cs="宋体"/>
          <w:sz w:val="32"/>
          <w:szCs w:val="32"/>
          <w:u w:val="single"/>
        </w:rPr>
        <w:t>月</w:t>
      </w:r>
      <w:r>
        <w:rPr>
          <w:rFonts w:hint="eastAsia" w:ascii="宋体" w:hAnsi="宋体" w:cs="宋体"/>
          <w:sz w:val="32"/>
          <w:szCs w:val="32"/>
          <w:u w:val="single"/>
          <w:lang w:val="en-US" w:eastAsia="zh-CN"/>
        </w:rPr>
        <w:t>20</w:t>
      </w:r>
      <w:r>
        <w:rPr>
          <w:rFonts w:hint="eastAsia" w:ascii="宋体" w:hAnsi="宋体" w:cs="宋体"/>
          <w:sz w:val="32"/>
          <w:szCs w:val="32"/>
          <w:u w:val="single"/>
        </w:rPr>
        <w:t xml:space="preserve">日         </w:t>
      </w:r>
    </w:p>
    <w:p>
      <w:pPr>
        <w:rPr>
          <w:rFonts w:eastAsia="黑体"/>
          <w:sz w:val="30"/>
          <w:szCs w:val="30"/>
          <w:u w:val="single"/>
        </w:rPr>
      </w:pPr>
    </w:p>
    <w:p>
      <w:pPr>
        <w:rPr>
          <w:rFonts w:eastAsia="黑体"/>
          <w:sz w:val="30"/>
          <w:szCs w:val="30"/>
          <w:u w:val="single"/>
        </w:rPr>
      </w:pPr>
    </w:p>
    <w:p>
      <w:pPr>
        <w:rPr>
          <w:rFonts w:eastAsia="黑体"/>
          <w:sz w:val="30"/>
          <w:szCs w:val="30"/>
          <w:u w:val="single"/>
        </w:rPr>
      </w:pPr>
    </w:p>
    <w:p>
      <w:pPr>
        <w:rPr>
          <w:rFonts w:eastAsia="黑体"/>
          <w:sz w:val="30"/>
          <w:szCs w:val="30"/>
          <w:u w:val="single"/>
        </w:rPr>
      </w:pPr>
    </w:p>
    <w:p>
      <w:pPr>
        <w:jc w:val="center"/>
        <w:rPr>
          <w:rFonts w:hint="eastAsia" w:eastAsia="黑体" w:cs="黑体"/>
          <w:b/>
          <w:bCs/>
          <w:sz w:val="36"/>
          <w:szCs w:val="36"/>
        </w:rPr>
      </w:pPr>
      <w:r>
        <w:rPr>
          <w:rFonts w:hint="eastAsia" w:eastAsia="黑体" w:cs="黑体"/>
          <w:b/>
          <w:bCs/>
          <w:sz w:val="36"/>
          <w:szCs w:val="36"/>
        </w:rPr>
        <w:t>北京国创</w:t>
      </w:r>
      <w:r>
        <w:rPr>
          <w:rFonts w:hint="eastAsia" w:eastAsia="黑体" w:cs="黑体"/>
          <w:b/>
          <w:bCs/>
          <w:sz w:val="36"/>
          <w:szCs w:val="36"/>
          <w:lang w:eastAsia="zh-CN"/>
        </w:rPr>
        <w:t>恒鑫会计服务</w:t>
      </w:r>
      <w:r>
        <w:rPr>
          <w:rFonts w:hint="eastAsia" w:eastAsia="黑体" w:cs="黑体"/>
          <w:b/>
          <w:bCs/>
          <w:sz w:val="36"/>
          <w:szCs w:val="36"/>
        </w:rPr>
        <w:t>有限公司</w:t>
      </w:r>
    </w:p>
    <w:p>
      <w:pPr>
        <w:ind w:right="-212" w:rightChars="-101"/>
        <w:jc w:val="center"/>
        <w:outlineLvl w:val="0"/>
        <w:rPr>
          <w:rFonts w:hint="eastAsia" w:eastAsia="黑体" w:cs="黑体"/>
          <w:bCs/>
          <w:sz w:val="32"/>
          <w:szCs w:val="36"/>
        </w:rPr>
        <w:sectPr>
          <w:footerReference r:id="rId3" w:type="default"/>
          <w:pgSz w:w="11906" w:h="16838"/>
          <w:pgMar w:top="1440" w:right="1800" w:bottom="1440" w:left="1800" w:header="851" w:footer="992" w:gutter="0"/>
          <w:pgNumType w:fmt="decimal" w:start="1"/>
          <w:cols w:space="425" w:num="1"/>
          <w:docGrid w:type="lines" w:linePitch="312" w:charSpace="0"/>
        </w:sectPr>
      </w:pPr>
      <w:bookmarkStart w:id="0" w:name="_Toc32647"/>
      <w:bookmarkStart w:id="1" w:name="_Toc27918"/>
      <w:r>
        <w:rPr>
          <w:rFonts w:hint="eastAsia" w:eastAsia="黑体" w:cs="黑体"/>
          <w:bCs/>
          <w:sz w:val="32"/>
          <w:szCs w:val="36"/>
        </w:rPr>
        <w:t>二〇二</w:t>
      </w:r>
      <w:r>
        <w:rPr>
          <w:rFonts w:hint="eastAsia" w:eastAsia="黑体" w:cs="黑体"/>
          <w:bCs/>
          <w:sz w:val="32"/>
          <w:szCs w:val="36"/>
          <w:lang w:eastAsia="zh-CN"/>
        </w:rPr>
        <w:t>三</w:t>
      </w:r>
      <w:r>
        <w:rPr>
          <w:rFonts w:hint="eastAsia" w:eastAsia="黑体" w:cs="黑体"/>
          <w:bCs/>
          <w:sz w:val="32"/>
          <w:szCs w:val="36"/>
        </w:rPr>
        <w:t>年五月</w:t>
      </w:r>
      <w:bookmarkEnd w:id="0"/>
      <w:bookmarkEnd w:id="1"/>
    </w:p>
    <w:p>
      <w:pPr>
        <w:ind w:right="-212" w:rightChars="-101"/>
        <w:jc w:val="center"/>
        <w:outlineLvl w:val="0"/>
        <w:rPr>
          <w:rFonts w:hint="eastAsia" w:eastAsia="黑体" w:cs="黑体"/>
          <w:bCs/>
          <w:sz w:val="32"/>
          <w:szCs w:val="36"/>
        </w:rPr>
      </w:pPr>
    </w:p>
    <w:p>
      <w:pPr>
        <w:pStyle w:val="11"/>
        <w:tabs>
          <w:tab w:val="right" w:leader="dot" w:pos="8306"/>
        </w:tabs>
        <w:jc w:val="center"/>
        <w:rPr>
          <w:rFonts w:ascii="Calibri" w:hAnsi="Calibri" w:eastAsia="宋体" w:cs="Times New Roman"/>
          <w:lang w:val="en-US" w:eastAsia="zh-CN" w:bidi="ar-SA"/>
        </w:rPr>
      </w:pPr>
      <w:r>
        <w:fldChar w:fldCharType="begin"/>
      </w:r>
      <w:r>
        <w:instrText xml:space="preserve">TOC \o "1-3" \h \u </w:instrText>
      </w:r>
      <w:r>
        <w:fldChar w:fldCharType="separate"/>
      </w:r>
      <w:r>
        <w:rPr>
          <w:rFonts w:hint="eastAsia"/>
          <w:lang w:eastAsia="zh-CN"/>
        </w:rPr>
        <w:t>目录</w:t>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_Toc8542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一、基本情况</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_Toc8542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_Toc10736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（一）项目概况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_Toc10736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_Toc27230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（二）项目绩效目标</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_Toc27230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_Toc14290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二、绩效评价工作开展情况</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_Toc14290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2</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_Toc2985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（一）绩效评价目的、对象和范围</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_Toc2985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_Toc25150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（二）绩效评价原则、评价指标体系（附表说明）、评价方法、评价标准等</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_Toc25150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_Toc5151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1.绩效评价原则</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_Toc5151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_Toc6601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2.评价方式方法</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_Toc6601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_Toc16984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3.项目绩效体系及评分标准</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_Toc16984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_Toc14777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（三）绩效评价工作过程</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_Toc14777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4</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_Toc26462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1.准备评价阶段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_Toc26462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4</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_Toc11844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2.实施评价阶段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_Toc11844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4</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_Toc2179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三、综合评价情况及评价结论</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_Toc2179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5</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_Toc20899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（一）项目绩效目标评价分析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_Toc20899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5</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_Toc158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（二）项目产出及效果评价分析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_Toc158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6</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_Toc24262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1．项目经济性分析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_Toc24262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6</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_Toc9331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2．项目效率性分析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_Toc9331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6</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_Toc3763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3．项目效益性分析</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_Toc3763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7</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_Toc19215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(三）评价结论</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_Toc19215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_Toc24021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四、绩效评价指标分析</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_Toc24021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9</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_Toc25188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（一）项目决策情况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_Toc25188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_Toc8389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（二）项目过程情况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_Toc8389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9</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_Toc14698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1.项目预算情况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_Toc14698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_Toc3152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2.资金支出及执行情况</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_Toc3152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_Toc13449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（三）项目产出情况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_Toc13449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10</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_Toc13007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（四）项目效益情况</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_Toc13007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10</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_Toc1565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（1）项目实施对经济和社会的影响</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_Toc1565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10</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7"/>
        <w:tabs>
          <w:tab w:val="right" w:leader="dot" w:pos="8306"/>
        </w:tabs>
        <w:rPr>
          <w:rFonts w:hint="eastAsia" w:ascii="仿宋" w:hAnsi="仿宋" w:eastAsia="仿宋" w:cs="仿宋"/>
          <w:sz w:val="20"/>
          <w:szCs w:val="20"/>
          <w:lang w:val="en-US" w:eastAsia="zh-CN" w:bidi="ar-SA"/>
        </w:rPr>
      </w:pP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HYPERLINK \l _Toc18691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（2）项目可持续影响</w:t>
      </w:r>
      <w:r>
        <w:rPr>
          <w:rFonts w:hint="eastAsia" w:ascii="仿宋" w:hAnsi="仿宋" w:eastAsia="仿宋" w:cs="仿宋"/>
          <w:sz w:val="20"/>
          <w:szCs w:val="20"/>
          <w:lang w:val="en-US" w:eastAsia="zh-CN" w:bidi="ar-SA"/>
        </w:rPr>
        <w:tab/>
      </w:r>
      <w:r>
        <w:rPr>
          <w:rFonts w:hint="eastAsia" w:ascii="仿宋" w:hAnsi="仿宋" w:eastAsia="仿宋" w:cs="仿宋"/>
          <w:sz w:val="20"/>
          <w:szCs w:val="20"/>
          <w:lang w:val="en-US" w:eastAsia="zh-CN" w:bidi="ar-SA"/>
        </w:rPr>
        <w:fldChar w:fldCharType="begin"/>
      </w:r>
      <w:r>
        <w:rPr>
          <w:rFonts w:hint="eastAsia" w:ascii="仿宋" w:hAnsi="仿宋" w:eastAsia="仿宋" w:cs="仿宋"/>
          <w:sz w:val="20"/>
          <w:szCs w:val="20"/>
          <w:lang w:val="en-US" w:eastAsia="zh-CN" w:bidi="ar-SA"/>
        </w:rPr>
        <w:instrText xml:space="preserve"> PAGEREF _Toc18691 </w:instrText>
      </w:r>
      <w:r>
        <w:rPr>
          <w:rFonts w:hint="eastAsia" w:ascii="仿宋" w:hAnsi="仿宋" w:eastAsia="仿宋" w:cs="仿宋"/>
          <w:sz w:val="20"/>
          <w:szCs w:val="20"/>
          <w:lang w:val="en-US" w:eastAsia="zh-CN" w:bidi="ar-SA"/>
        </w:rPr>
        <w:fldChar w:fldCharType="separate"/>
      </w:r>
      <w:r>
        <w:rPr>
          <w:rFonts w:hint="eastAsia" w:ascii="仿宋" w:hAnsi="仿宋" w:eastAsia="仿宋" w:cs="仿宋"/>
          <w:sz w:val="20"/>
          <w:szCs w:val="20"/>
          <w:lang w:val="en-US" w:eastAsia="zh-CN" w:bidi="ar-SA"/>
        </w:rPr>
        <w:t>11</w:t>
      </w:r>
      <w:r>
        <w:rPr>
          <w:rFonts w:hint="eastAsia" w:ascii="仿宋" w:hAnsi="仿宋" w:eastAsia="仿宋" w:cs="仿宋"/>
          <w:sz w:val="20"/>
          <w:szCs w:val="20"/>
          <w:lang w:val="en-US" w:eastAsia="zh-CN" w:bidi="ar-SA"/>
        </w:rPr>
        <w:fldChar w:fldCharType="end"/>
      </w:r>
      <w:r>
        <w:rPr>
          <w:rFonts w:hint="eastAsia" w:ascii="仿宋" w:hAnsi="仿宋" w:eastAsia="仿宋" w:cs="仿宋"/>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_Toc5201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五、主要经验及做法、存在的问题及原因分析</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_Toc5201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11</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_Toc22295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（一）主要经验及做法</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_Toc22295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11</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4"/>
        <w:tabs>
          <w:tab w:val="right" w:leader="dot" w:pos="8306"/>
        </w:tabs>
        <w:rPr>
          <w:rFonts w:hint="eastAsia" w:ascii="楷体" w:hAnsi="楷体" w:eastAsia="楷体" w:cs="楷体"/>
          <w:sz w:val="20"/>
          <w:szCs w:val="20"/>
          <w:lang w:val="en-US" w:eastAsia="zh-CN" w:bidi="ar-SA"/>
        </w:rPr>
      </w:pP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HYPERLINK \l _Toc16040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（二）存在的问题及原因分析</w:t>
      </w:r>
      <w:r>
        <w:rPr>
          <w:rFonts w:hint="eastAsia" w:ascii="楷体" w:hAnsi="楷体" w:eastAsia="楷体" w:cs="楷体"/>
          <w:sz w:val="20"/>
          <w:szCs w:val="20"/>
          <w:lang w:val="en-US" w:eastAsia="zh-CN" w:bidi="ar-SA"/>
        </w:rPr>
        <w:tab/>
      </w:r>
      <w:r>
        <w:rPr>
          <w:rFonts w:hint="eastAsia" w:ascii="楷体" w:hAnsi="楷体" w:eastAsia="楷体" w:cs="楷体"/>
          <w:sz w:val="20"/>
          <w:szCs w:val="20"/>
          <w:lang w:val="en-US" w:eastAsia="zh-CN" w:bidi="ar-SA"/>
        </w:rPr>
        <w:fldChar w:fldCharType="begin"/>
      </w:r>
      <w:r>
        <w:rPr>
          <w:rFonts w:hint="eastAsia" w:ascii="楷体" w:hAnsi="楷体" w:eastAsia="楷体" w:cs="楷体"/>
          <w:sz w:val="20"/>
          <w:szCs w:val="20"/>
          <w:lang w:val="en-US" w:eastAsia="zh-CN" w:bidi="ar-SA"/>
        </w:rPr>
        <w:instrText xml:space="preserve"> PAGEREF _Toc16040 </w:instrText>
      </w:r>
      <w:r>
        <w:rPr>
          <w:rFonts w:hint="eastAsia" w:ascii="楷体" w:hAnsi="楷体" w:eastAsia="楷体" w:cs="楷体"/>
          <w:sz w:val="20"/>
          <w:szCs w:val="20"/>
          <w:lang w:val="en-US" w:eastAsia="zh-CN" w:bidi="ar-SA"/>
        </w:rPr>
        <w:fldChar w:fldCharType="separate"/>
      </w:r>
      <w:r>
        <w:rPr>
          <w:rFonts w:hint="eastAsia" w:ascii="楷体" w:hAnsi="楷体" w:eastAsia="楷体" w:cs="楷体"/>
          <w:sz w:val="20"/>
          <w:szCs w:val="20"/>
          <w:lang w:val="en-US" w:eastAsia="zh-CN" w:bidi="ar-SA"/>
        </w:rPr>
        <w:t>12</w:t>
      </w:r>
      <w:r>
        <w:rPr>
          <w:rFonts w:hint="eastAsia" w:ascii="楷体" w:hAnsi="楷体" w:eastAsia="楷体" w:cs="楷体"/>
          <w:sz w:val="20"/>
          <w:szCs w:val="20"/>
          <w:lang w:val="en-US" w:eastAsia="zh-CN" w:bidi="ar-SA"/>
        </w:rPr>
        <w:fldChar w:fldCharType="end"/>
      </w:r>
      <w:r>
        <w:rPr>
          <w:rFonts w:hint="eastAsia" w:ascii="楷体" w:hAnsi="楷体" w:eastAsia="楷体" w:cs="楷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_Toc24185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六、有关建议</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_Toc24185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12</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1"/>
        <w:tabs>
          <w:tab w:val="right" w:leader="dot" w:pos="8306"/>
        </w:tabs>
        <w:rPr>
          <w:rFonts w:hint="eastAsia" w:ascii="黑体" w:hAnsi="黑体" w:eastAsia="黑体" w:cs="黑体"/>
          <w:sz w:val="20"/>
          <w:szCs w:val="20"/>
          <w:lang w:val="en-US" w:eastAsia="zh-CN" w:bidi="ar-SA"/>
        </w:rPr>
      </w:pP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HYPERLINK \l _Toc2281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七、其他需要说明的问题</w:t>
      </w:r>
      <w:r>
        <w:rPr>
          <w:rFonts w:hint="eastAsia" w:ascii="黑体" w:hAnsi="黑体" w:eastAsia="黑体" w:cs="黑体"/>
          <w:sz w:val="20"/>
          <w:szCs w:val="20"/>
          <w:lang w:val="en-US" w:eastAsia="zh-CN" w:bidi="ar-SA"/>
        </w:rPr>
        <w:tab/>
      </w:r>
      <w:r>
        <w:rPr>
          <w:rFonts w:hint="eastAsia" w:ascii="黑体" w:hAnsi="黑体" w:eastAsia="黑体" w:cs="黑体"/>
          <w:sz w:val="20"/>
          <w:szCs w:val="20"/>
          <w:lang w:val="en-US" w:eastAsia="zh-CN" w:bidi="ar-SA"/>
        </w:rPr>
        <w:fldChar w:fldCharType="begin"/>
      </w:r>
      <w:r>
        <w:rPr>
          <w:rFonts w:hint="eastAsia" w:ascii="黑体" w:hAnsi="黑体" w:eastAsia="黑体" w:cs="黑体"/>
          <w:sz w:val="20"/>
          <w:szCs w:val="20"/>
          <w:lang w:val="en-US" w:eastAsia="zh-CN" w:bidi="ar-SA"/>
        </w:rPr>
        <w:instrText xml:space="preserve"> PAGEREF _Toc2281 </w:instrText>
      </w:r>
      <w:r>
        <w:rPr>
          <w:rFonts w:hint="eastAsia" w:ascii="黑体" w:hAnsi="黑体" w:eastAsia="黑体" w:cs="黑体"/>
          <w:sz w:val="20"/>
          <w:szCs w:val="20"/>
          <w:lang w:val="en-US" w:eastAsia="zh-CN" w:bidi="ar-SA"/>
        </w:rPr>
        <w:fldChar w:fldCharType="separate"/>
      </w:r>
      <w:r>
        <w:rPr>
          <w:rFonts w:hint="eastAsia" w:ascii="黑体" w:hAnsi="黑体" w:eastAsia="黑体" w:cs="黑体"/>
          <w:sz w:val="20"/>
          <w:szCs w:val="20"/>
          <w:lang w:val="en-US" w:eastAsia="zh-CN" w:bidi="ar-SA"/>
        </w:rPr>
        <w:t>13</w:t>
      </w:r>
      <w:r>
        <w:rPr>
          <w:rFonts w:hint="eastAsia" w:ascii="黑体" w:hAnsi="黑体" w:eastAsia="黑体" w:cs="黑体"/>
          <w:sz w:val="20"/>
          <w:szCs w:val="20"/>
          <w:lang w:val="en-US" w:eastAsia="zh-CN" w:bidi="ar-SA"/>
        </w:rPr>
        <w:fldChar w:fldCharType="end"/>
      </w:r>
      <w:r>
        <w:rPr>
          <w:rFonts w:hint="eastAsia" w:ascii="黑体" w:hAnsi="黑体" w:eastAsia="黑体" w:cs="黑体"/>
          <w:sz w:val="20"/>
          <w:szCs w:val="20"/>
          <w:lang w:val="en-US" w:eastAsia="zh-CN" w:bidi="ar-SA"/>
        </w:rPr>
        <w:fldChar w:fldCharType="end"/>
      </w:r>
    </w:p>
    <w:p>
      <w:pPr>
        <w:pStyle w:val="19"/>
        <w:tabs>
          <w:tab w:val="right" w:leader="dot" w:pos="8306"/>
        </w:tabs>
      </w:pPr>
      <w:r>
        <w:rPr>
          <w:rFonts w:ascii="Calibri" w:hAnsi="Calibri" w:eastAsia="宋体" w:cs="Times New Roman"/>
          <w:lang w:val="en-US" w:eastAsia="zh-CN" w:bidi="ar-SA"/>
        </w:rPr>
        <w:fldChar w:fldCharType="end"/>
      </w:r>
    </w:p>
    <w:p>
      <w:pPr>
        <w:ind w:right="-212" w:rightChars="-101"/>
        <w:jc w:val="both"/>
        <w:outlineLvl w:val="0"/>
        <w:rPr>
          <w:rFonts w:hint="eastAsia" w:ascii="仿宋" w:hAnsi="仿宋" w:eastAsia="仿宋" w:cs="仿宋"/>
          <w:b/>
          <w:bCs/>
          <w:sz w:val="36"/>
          <w:szCs w:val="36"/>
        </w:rPr>
      </w:pPr>
      <w:bookmarkStart w:id="2" w:name="_Toc30931_WPSOffice_Level1"/>
    </w:p>
    <w:p>
      <w:pPr>
        <w:ind w:right="-212" w:rightChars="-101"/>
        <w:jc w:val="both"/>
        <w:outlineLvl w:val="0"/>
        <w:rPr>
          <w:rFonts w:hint="eastAsia" w:ascii="仿宋" w:hAnsi="仿宋" w:eastAsia="仿宋" w:cs="仿宋"/>
          <w:b/>
          <w:bCs/>
          <w:sz w:val="36"/>
          <w:szCs w:val="36"/>
        </w:rPr>
        <w:sectPr>
          <w:pgSz w:w="11906" w:h="16838"/>
          <w:pgMar w:top="1440" w:right="1800" w:bottom="1440" w:left="1800" w:header="851" w:footer="992" w:gutter="0"/>
          <w:pgNumType w:fmt="decimal" w:start="1"/>
          <w:cols w:space="425" w:num="1"/>
          <w:docGrid w:type="lines" w:linePitch="312" w:charSpace="0"/>
        </w:sectPr>
      </w:pPr>
    </w:p>
    <w:p>
      <w:pPr>
        <w:ind w:right="-212" w:rightChars="-101"/>
        <w:jc w:val="both"/>
        <w:outlineLvl w:val="0"/>
        <w:rPr>
          <w:rFonts w:hint="eastAsia" w:ascii="仿宋" w:hAnsi="仿宋" w:eastAsia="仿宋" w:cs="仿宋"/>
          <w:b/>
          <w:bCs/>
          <w:sz w:val="36"/>
          <w:szCs w:val="36"/>
        </w:rPr>
      </w:pPr>
      <w:bookmarkStart w:id="3" w:name="_Toc31004_WPSOffice_Level1"/>
      <w:bookmarkStart w:id="4" w:name="_Toc2792_WPSOffice_Level1"/>
    </w:p>
    <w:p>
      <w:pPr>
        <w:ind w:right="-212" w:rightChars="-101"/>
        <w:jc w:val="center"/>
        <w:outlineLvl w:val="0"/>
        <w:rPr>
          <w:rFonts w:hint="eastAsia" w:ascii="仿宋" w:hAnsi="仿宋" w:eastAsia="仿宋" w:cs="仿宋"/>
          <w:b/>
          <w:bCs/>
          <w:sz w:val="36"/>
          <w:szCs w:val="36"/>
        </w:rPr>
      </w:pPr>
      <w:bookmarkStart w:id="5" w:name="_Toc9541"/>
      <w:bookmarkStart w:id="6" w:name="_Toc28797_WPSOffice_Level1"/>
      <w:bookmarkStart w:id="7" w:name="_Toc26268"/>
      <w:r>
        <w:rPr>
          <w:rFonts w:hint="eastAsia" w:ascii="仿宋" w:hAnsi="仿宋" w:eastAsia="仿宋" w:cs="仿宋"/>
          <w:b/>
          <w:bCs/>
          <w:sz w:val="36"/>
          <w:szCs w:val="36"/>
        </w:rPr>
        <w:t>北京市昌平区人民检察院“信息化运维”</w:t>
      </w:r>
      <w:bookmarkEnd w:id="2"/>
      <w:bookmarkEnd w:id="3"/>
      <w:bookmarkEnd w:id="4"/>
      <w:bookmarkEnd w:id="5"/>
      <w:bookmarkEnd w:id="6"/>
      <w:bookmarkEnd w:id="7"/>
    </w:p>
    <w:p>
      <w:pPr>
        <w:ind w:left="-178" w:leftChars="-85" w:right="-212" w:rightChars="-101"/>
        <w:jc w:val="center"/>
        <w:outlineLvl w:val="0"/>
        <w:rPr>
          <w:rFonts w:hint="eastAsia" w:ascii="仿宋" w:hAnsi="仿宋" w:eastAsia="仿宋" w:cs="仿宋"/>
          <w:b/>
          <w:bCs/>
          <w:sz w:val="36"/>
          <w:szCs w:val="36"/>
        </w:rPr>
      </w:pPr>
      <w:bookmarkStart w:id="8" w:name="_Toc16186_WPSOffice_Level1"/>
      <w:bookmarkStart w:id="9" w:name="_Toc23838_WPSOffice_Level1"/>
      <w:bookmarkStart w:id="10" w:name="_Toc25297_WPSOffice_Level1"/>
      <w:bookmarkStart w:id="11" w:name="_Toc19776_WPSOffice_Level1"/>
      <w:bookmarkStart w:id="12" w:name="_Toc10826_WPSOffice_Level1"/>
      <w:bookmarkStart w:id="13" w:name="_Toc25987_WPSOffice_Level1"/>
      <w:bookmarkStart w:id="14" w:name="_Toc18574_WPSOffice_Level1"/>
      <w:bookmarkStart w:id="15" w:name="_Toc3905"/>
      <w:bookmarkStart w:id="16" w:name="_Toc30925"/>
      <w:r>
        <w:rPr>
          <w:rFonts w:hint="eastAsia" w:ascii="仿宋" w:hAnsi="仿宋" w:eastAsia="仿宋" w:cs="仿宋"/>
          <w:b/>
          <w:bCs/>
          <w:sz w:val="36"/>
          <w:szCs w:val="36"/>
        </w:rPr>
        <w:t>项目绩效评价报告</w:t>
      </w:r>
      <w:bookmarkEnd w:id="8"/>
      <w:bookmarkEnd w:id="9"/>
      <w:bookmarkEnd w:id="10"/>
      <w:bookmarkEnd w:id="11"/>
      <w:bookmarkEnd w:id="12"/>
      <w:bookmarkEnd w:id="13"/>
      <w:bookmarkEnd w:id="14"/>
      <w:bookmarkEnd w:id="15"/>
      <w:bookmarkEnd w:id="16"/>
    </w:p>
    <w:p>
      <w:pPr>
        <w:jc w:val="center"/>
        <w:rPr>
          <w:rFonts w:hint="eastAsia" w:ascii="仿宋_GB2312" w:eastAsia="仿宋_GB2312"/>
          <w:sz w:val="32"/>
          <w:szCs w:val="32"/>
        </w:rPr>
      </w:pPr>
    </w:p>
    <w:p>
      <w:pPr>
        <w:pStyle w:val="2"/>
        <w:rPr>
          <w:rFonts w:hint="eastAsia"/>
        </w:rPr>
      </w:pPr>
      <w:bookmarkStart w:id="17" w:name="_Toc3227_WPSOffice_Level1"/>
      <w:bookmarkStart w:id="18" w:name="_Toc8542"/>
      <w:r>
        <w:rPr>
          <w:rFonts w:hint="eastAsia"/>
        </w:rPr>
        <w:t>一、基本情况</w:t>
      </w:r>
      <w:bookmarkEnd w:id="17"/>
      <w:bookmarkEnd w:id="18"/>
    </w:p>
    <w:p>
      <w:pPr>
        <w:pStyle w:val="3"/>
        <w:rPr>
          <w:rFonts w:hint="eastAsia"/>
        </w:rPr>
      </w:pPr>
      <w:bookmarkStart w:id="19" w:name="_Toc25297_WPSOffice_Level2"/>
      <w:bookmarkStart w:id="20" w:name="_Toc10736"/>
      <w:r>
        <w:rPr>
          <w:rFonts w:hint="eastAsia"/>
        </w:rPr>
        <w:t>（一）项目概况</w:t>
      </w:r>
      <w:bookmarkEnd w:id="19"/>
      <w:bookmarkEnd w:id="20"/>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“信息化运维”项目（以下简称“该项目”）的申报单位为北京市昌平区人民检察院（以下简称“昌平检察院”），实施主体即昌平检察院。</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该项目的主要内容为：办案信息管理平台费37.67万元。办公楼安防监控系统、办案工作区同步录音录像系统及远程同步录音录像系统、驻看守所检察室监控系统22万元。</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随着检察信息化和办公自动化进一步发展，检察办公、办案业务对信息技术的依赖不断增大，信息化设备不断投入，组织的硬件设施、软件系统规模不断增加，信息化运维复杂性不断增强，重要性不断提高。</w:t>
      </w:r>
    </w:p>
    <w:p>
      <w:pPr>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rPr>
        <w:t>该项目为延续性项目，昌平检察院自2014年至今的网络运行，统一业务应用系统的软件维护，以及终端等的维护，一直由外包公司负责，202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年度将继续延续。</w:t>
      </w:r>
    </w:p>
    <w:p>
      <w:pPr>
        <w:pStyle w:val="3"/>
        <w:rPr>
          <w:rFonts w:hint="eastAsia"/>
        </w:rPr>
      </w:pPr>
      <w:bookmarkStart w:id="21" w:name="_Toc27230"/>
      <w:bookmarkStart w:id="22" w:name="_Toc3227_WPSOffice_Level2"/>
      <w:r>
        <w:rPr>
          <w:rFonts w:hint="eastAsia"/>
          <w:lang w:eastAsia="zh-CN"/>
        </w:rPr>
        <w:t>（二）</w:t>
      </w:r>
      <w:r>
        <w:rPr>
          <w:rFonts w:hint="eastAsia"/>
        </w:rPr>
        <w:t>项目绩效目标</w:t>
      </w:r>
      <w:bookmarkEnd w:id="21"/>
      <w:bookmarkEnd w:id="22"/>
    </w:p>
    <w:p>
      <w:pPr>
        <w:numPr>
          <w:ilvl w:val="0"/>
          <w:numId w:val="0"/>
        </w:num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项目作为延续性项目逐年实施促进信息化系统建设，有效提高办案人员工作效率；保障单位检务工作顺利开展；提高检察公信力的社会影响力。</w:t>
      </w:r>
    </w:p>
    <w:p>
      <w:pPr>
        <w:pStyle w:val="2"/>
        <w:rPr>
          <w:rFonts w:hint="eastAsia"/>
        </w:rPr>
      </w:pPr>
      <w:bookmarkStart w:id="23" w:name="_Toc14290"/>
      <w:bookmarkStart w:id="24" w:name="_Toc19886_WPSOffice_Level1"/>
      <w:r>
        <w:rPr>
          <w:rFonts w:hint="eastAsia"/>
        </w:rPr>
        <w:t>二、绩效评价工作开展情况</w:t>
      </w:r>
      <w:bookmarkEnd w:id="23"/>
      <w:bookmarkEnd w:id="24"/>
    </w:p>
    <w:p>
      <w:pPr>
        <w:pStyle w:val="3"/>
        <w:rPr>
          <w:rFonts w:hint="eastAsia"/>
        </w:rPr>
      </w:pPr>
      <w:bookmarkStart w:id="25" w:name="_Toc2985"/>
      <w:r>
        <w:rPr>
          <w:rFonts w:hint="eastAsia"/>
        </w:rPr>
        <w:t>（一）绩效评价目的、对象和范围</w:t>
      </w:r>
      <w:bookmarkEnd w:id="25"/>
    </w:p>
    <w:p>
      <w:pPr>
        <w:ind w:firstLine="640" w:firstLineChars="200"/>
        <w:rPr>
          <w:rFonts w:hint="eastAsia" w:ascii="楷体_GB2312" w:hAnsi="楷体_GB2312" w:eastAsia="楷体_GB2312" w:cs="楷体_GB2312"/>
          <w:sz w:val="32"/>
          <w:szCs w:val="32"/>
        </w:rPr>
      </w:pPr>
      <w:r>
        <w:rPr>
          <w:rFonts w:hint="eastAsia" w:ascii="仿宋_GB2312" w:hAnsi="仿宋_GB2312" w:eastAsia="仿宋_GB2312" w:cs="仿宋_GB2312"/>
          <w:sz w:val="32"/>
          <w:szCs w:val="32"/>
        </w:rPr>
        <w:t>按照市财政局“加强财政支出管理，强化支出责任，建立科学、合理的财政支出绩效评价管理体系，提高财政资金使用效益”的要求，受昌平检察院</w:t>
      </w:r>
      <w:r>
        <w:rPr>
          <w:rFonts w:ascii="仿宋_GB2312" w:hAnsi="仿宋_GB2312" w:eastAsia="仿宋_GB2312" w:cs="仿宋_GB2312"/>
          <w:sz w:val="32"/>
          <w:szCs w:val="32"/>
        </w:rPr>
        <w:t>委托</w:t>
      </w:r>
      <w:r>
        <w:rPr>
          <w:rFonts w:hint="eastAsia" w:ascii="仿宋_GB2312" w:hAnsi="仿宋_GB2312" w:eastAsia="仿宋_GB2312" w:cs="仿宋_GB2312"/>
          <w:sz w:val="32"/>
          <w:szCs w:val="32"/>
        </w:rPr>
        <w:t>，北京国创</w:t>
      </w:r>
      <w:r>
        <w:rPr>
          <w:rFonts w:hint="eastAsia" w:ascii="仿宋_GB2312" w:hAnsi="仿宋_GB2312" w:eastAsia="仿宋_GB2312" w:cs="仿宋_GB2312"/>
          <w:sz w:val="32"/>
          <w:szCs w:val="32"/>
          <w:lang w:eastAsia="zh-CN"/>
        </w:rPr>
        <w:t>恒鑫会计服务</w:t>
      </w:r>
      <w:r>
        <w:rPr>
          <w:rFonts w:hint="eastAsia" w:ascii="仿宋_GB2312" w:hAnsi="仿宋_GB2312" w:eastAsia="仿宋_GB2312" w:cs="仿宋_GB2312"/>
          <w:sz w:val="32"/>
          <w:szCs w:val="32"/>
        </w:rPr>
        <w:t>有限公司（以下简称“评价机构”）对项目实施效果和资金使用情况等进行绩效评价。</w:t>
      </w:r>
    </w:p>
    <w:p>
      <w:pPr>
        <w:pStyle w:val="3"/>
        <w:rPr>
          <w:rFonts w:hint="eastAsia"/>
        </w:rPr>
      </w:pPr>
      <w:bookmarkStart w:id="26" w:name="_Toc25150"/>
      <w:r>
        <w:rPr>
          <w:rFonts w:hint="eastAsia"/>
          <w:lang w:eastAsia="zh-CN"/>
        </w:rPr>
        <w:t>（二）</w:t>
      </w:r>
      <w:r>
        <w:rPr>
          <w:rFonts w:hint="eastAsia"/>
        </w:rPr>
        <w:t>绩效评价原则、评价指标体系（附表说明）、评价方法、评价标准等</w:t>
      </w:r>
      <w:bookmarkEnd w:id="26"/>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评价机构本着独立、科学、规范、客观、公正的原则，依据</w:t>
      </w:r>
      <w:r>
        <w:rPr>
          <w:rFonts w:hint="eastAsia" w:ascii="仿宋_GB2312" w:hAnsi="仿宋_GB2312" w:eastAsia="仿宋_GB2312" w:cs="仿宋_GB2312"/>
          <w:sz w:val="32"/>
          <w:szCs w:val="32"/>
          <w:lang w:eastAsia="zh-CN"/>
        </w:rPr>
        <w:t>《北京市项目支出绩效评价管理办法》（京财绩效</w:t>
      </w:r>
      <w:r>
        <w:rPr>
          <w:rFonts w:hint="eastAsia" w:ascii="仿宋_GB2312" w:hAnsi="仿宋_GB2312" w:eastAsia="仿宋_GB2312" w:cs="仿宋_GB2312"/>
          <w:sz w:val="32"/>
          <w:szCs w:val="32"/>
          <w:lang w:val="en-US" w:eastAsia="zh-CN"/>
        </w:rPr>
        <w:t>〔2020〕2146号，以下简称“</w:t>
      </w:r>
      <w:r>
        <w:rPr>
          <w:rFonts w:hint="eastAsia" w:ascii="仿宋_GB2312" w:hAnsi="仿宋_GB2312" w:eastAsia="仿宋_GB2312" w:cs="仿宋_GB2312"/>
          <w:sz w:val="32"/>
          <w:szCs w:val="32"/>
          <w:lang w:eastAsia="zh-CN"/>
        </w:rPr>
        <w:t>《绩效评价办法》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和《北京市市级预算部门组织财政项目支出绩效评价规范》（京财绩效〔2013〕</w:t>
      </w:r>
      <w:bookmarkStart w:id="27" w:name="yibanfawen_hao"/>
      <w:r>
        <w:rPr>
          <w:rFonts w:hint="eastAsia" w:ascii="仿宋_GB2312" w:hAnsi="仿宋_GB2312" w:eastAsia="仿宋_GB2312" w:cs="仿宋_GB2312"/>
          <w:sz w:val="32"/>
          <w:szCs w:val="32"/>
        </w:rPr>
        <w:t>2334</w:t>
      </w:r>
      <w:bookmarkEnd w:id="27"/>
      <w:r>
        <w:rPr>
          <w:rFonts w:hint="eastAsia" w:ascii="仿宋_GB2312" w:hAnsi="仿宋_GB2312" w:eastAsia="仿宋_GB2312" w:cs="仿宋_GB2312"/>
          <w:sz w:val="32"/>
          <w:szCs w:val="32"/>
        </w:rPr>
        <w:t>号，以下简称“2334号文”）相关规定，以及项目单位提供的政策文件、制度规范、预算批复文件、项目资料等，本着科学规范、公开公正、绩效相关的原则，运用成本效益分析法、比较法、专家评议法等分析方法，对项目决策、管理、绩效三方面进行综合评价。具体如下：</w:t>
      </w:r>
    </w:p>
    <w:p>
      <w:pPr>
        <w:pStyle w:val="4"/>
        <w:rPr>
          <w:rFonts w:hint="eastAsia"/>
        </w:rPr>
      </w:pPr>
      <w:bookmarkStart w:id="28" w:name="_Toc19886_WPSOffice_Level2"/>
      <w:bookmarkStart w:id="29" w:name="_Toc10071762"/>
      <w:bookmarkStart w:id="30" w:name="_Toc31888"/>
      <w:bookmarkStart w:id="31" w:name="_Toc5151"/>
      <w:r>
        <w:rPr>
          <w:rFonts w:hint="eastAsia"/>
        </w:rPr>
        <w:t>1.绩效评价原则</w:t>
      </w:r>
      <w:bookmarkEnd w:id="28"/>
      <w:bookmarkEnd w:id="29"/>
      <w:bookmarkEnd w:id="30"/>
      <w:bookmarkEnd w:id="31"/>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科学规范原则。注重财政支出的经济性、效率性和有效性，科学制定绩效指标体系，运用科学的评价方法，按照规范的评价程序进行。</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公开公正原则。评价工作客观、公正、透明，标准统一，资料可靠，依法公开接受有关机构和公众的监督。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绩效相关原则。针对具体支出及其产出绩效进行评价，评价结果能清晰反映支出和产出绩效之间的紧密对应关系。</w:t>
      </w:r>
    </w:p>
    <w:p>
      <w:pPr>
        <w:pStyle w:val="4"/>
        <w:rPr>
          <w:rFonts w:hint="eastAsia"/>
        </w:rPr>
      </w:pPr>
      <w:bookmarkStart w:id="32" w:name="_Toc10071763"/>
      <w:bookmarkStart w:id="33" w:name="_Toc4410"/>
      <w:bookmarkStart w:id="34" w:name="_Toc27340_WPSOffice_Level2"/>
      <w:bookmarkStart w:id="35" w:name="_Toc6601"/>
      <w:r>
        <w:rPr>
          <w:rFonts w:hint="eastAsia"/>
        </w:rPr>
        <w:t>2.评价方式方法</w:t>
      </w:r>
      <w:bookmarkEnd w:id="32"/>
      <w:bookmarkEnd w:id="33"/>
      <w:bookmarkEnd w:id="34"/>
      <w:bookmarkEnd w:id="35"/>
    </w:p>
    <w:p>
      <w:pPr>
        <w:ind w:firstLine="640" w:firstLineChars="200"/>
        <w:jc w:val="left"/>
        <w:rPr>
          <w:rFonts w:hint="eastAsia" w:eastAsia="仿宋_GB2312" w:cs="仿宋_GB2312"/>
        </w:rPr>
      </w:pPr>
      <w:r>
        <w:rPr>
          <w:rFonts w:hint="eastAsia" w:ascii="仿宋_GB2312" w:hAnsi="仿宋_GB2312" w:eastAsia="仿宋_GB2312" w:cs="仿宋_GB2312"/>
          <w:sz w:val="32"/>
          <w:szCs w:val="32"/>
        </w:rPr>
        <w:t>评价机构采用现场评价方式，通过成本效益分析法、比较法、专家评议法等分析方法，对项目进行综合评价。评价机构及专家组通过查阅相关资料，与项目单位沟通交流，对项目决策、项目管理、项目绩效进行现场评价，形成绩效评价综合结论。</w:t>
      </w:r>
    </w:p>
    <w:p>
      <w:pPr>
        <w:pStyle w:val="4"/>
        <w:rPr>
          <w:rFonts w:hint="eastAsia"/>
        </w:rPr>
      </w:pPr>
      <w:bookmarkStart w:id="36" w:name="_Toc24414_WPSOffice_Level2"/>
      <w:bookmarkStart w:id="37" w:name="_Toc16984"/>
      <w:r>
        <w:rPr>
          <w:rFonts w:hint="eastAsia"/>
          <w:lang w:val="en-US" w:eastAsia="zh-CN"/>
        </w:rPr>
        <w:t>3.</w:t>
      </w:r>
      <w:r>
        <w:rPr>
          <w:rFonts w:hint="eastAsia"/>
        </w:rPr>
        <w:t>项目绩效体系及评分标准</w:t>
      </w:r>
      <w:bookmarkEnd w:id="36"/>
      <w:bookmarkEnd w:id="37"/>
    </w:p>
    <w:p>
      <w:pPr>
        <w:ind w:firstLine="640" w:firstLineChars="200"/>
        <w:rPr>
          <w:rFonts w:ascii="仿宋_GB2312" w:hAnsi="宋体" w:eastAsia="仿宋_GB2312" w:cs="仿宋_GB2312"/>
          <w:sz w:val="32"/>
          <w:szCs w:val="32"/>
        </w:rPr>
      </w:pPr>
      <w:r>
        <w:rPr>
          <w:rFonts w:hint="eastAsia" w:ascii="仿宋_GB2312" w:hAnsi="宋体" w:eastAsia="仿宋_GB2312" w:cs="仿宋_GB2312"/>
          <w:color w:val="auto"/>
          <w:sz w:val="32"/>
          <w:szCs w:val="32"/>
        </w:rPr>
        <w:t>根据</w:t>
      </w:r>
      <w:r>
        <w:rPr>
          <w:rFonts w:hint="eastAsia" w:ascii="仿宋_GB2312" w:hAnsi="仿宋_GB2312" w:eastAsia="仿宋_GB2312" w:cs="仿宋_GB2312"/>
          <w:b w:val="0"/>
          <w:bCs w:val="0"/>
          <w:color w:val="auto"/>
          <w:sz w:val="32"/>
          <w:szCs w:val="32"/>
          <w:highlight w:val="none"/>
          <w:lang w:eastAsia="zh-CN"/>
        </w:rPr>
        <w:t>《绩效评价办法》</w:t>
      </w:r>
      <w:r>
        <w:rPr>
          <w:rFonts w:hint="eastAsia" w:ascii="仿宋_GB2312" w:hAnsi="宋体" w:eastAsia="仿宋_GB2312" w:cs="仿宋_GB2312"/>
          <w:color w:val="auto"/>
          <w:sz w:val="32"/>
          <w:szCs w:val="32"/>
        </w:rPr>
        <w:t>、2334号文等</w:t>
      </w:r>
      <w:r>
        <w:rPr>
          <w:rFonts w:hint="eastAsia" w:ascii="仿宋_GB2312" w:hAnsi="宋体" w:eastAsia="仿宋_GB2312" w:cs="仿宋_GB2312"/>
          <w:sz w:val="32"/>
          <w:szCs w:val="32"/>
        </w:rPr>
        <w:t>相关文件精神，结合项目特点，在与专家组、项目单位充分协商的基础上，评价工作组细化了项目的绩效评价指标体系，</w:t>
      </w:r>
      <w:r>
        <w:rPr>
          <w:rFonts w:hint="eastAsia" w:ascii="仿宋_GB2312" w:hAnsi="宋体" w:eastAsia="仿宋_GB2312" w:cs="仿宋_GB2312"/>
          <w:color w:val="auto"/>
          <w:sz w:val="32"/>
          <w:szCs w:val="32"/>
        </w:rPr>
        <w:t>详见附件1</w:t>
      </w:r>
      <w:r>
        <w:rPr>
          <w:rFonts w:hint="eastAsia" w:ascii="仿宋_GB2312" w:hAnsi="宋体" w:eastAsia="仿宋_GB2312" w:cs="仿宋_GB2312"/>
          <w:sz w:val="32"/>
          <w:szCs w:val="32"/>
        </w:rPr>
        <w:t>。评价指标体系总分值为100分，其中项目决策15分，项目管理30分，项目绩效55分。</w:t>
      </w:r>
      <w:r>
        <w:rPr>
          <w:rFonts w:hint="eastAsia" w:ascii="仿宋_GB2312"/>
          <w:color w:val="000000"/>
          <w:sz w:val="32"/>
          <w:szCs w:val="32"/>
        </w:rPr>
        <w:t>绩效</w:t>
      </w:r>
      <w:r>
        <w:rPr>
          <w:rFonts w:hint="eastAsia" w:ascii="仿宋_GB2312" w:hAnsi="宋体" w:eastAsia="仿宋_GB2312" w:cs="仿宋_GB2312"/>
          <w:sz w:val="32"/>
          <w:szCs w:val="32"/>
        </w:rPr>
        <w:t>评价综合绩效级别评定结果分为</w:t>
      </w:r>
      <w:r>
        <w:rPr>
          <w:rFonts w:ascii="仿宋_GB2312" w:hAnsi="宋体" w:eastAsia="仿宋_GB2312" w:cs="仿宋_GB2312"/>
          <w:sz w:val="32"/>
          <w:szCs w:val="32"/>
        </w:rPr>
        <w:t>4</w:t>
      </w:r>
      <w:r>
        <w:rPr>
          <w:rFonts w:hint="eastAsia" w:ascii="仿宋_GB2312" w:hAnsi="宋体" w:eastAsia="仿宋_GB2312" w:cs="仿宋_GB2312"/>
          <w:sz w:val="32"/>
          <w:szCs w:val="32"/>
        </w:rPr>
        <w:t>个等级：</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90（含）-100分</w:t>
      </w:r>
      <w:r>
        <w:rPr>
          <w:rFonts w:hint="eastAsia" w:ascii="仿宋_GB2312" w:hAnsi="宋体" w:eastAsia="仿宋_GB2312" w:cs="仿宋_GB2312"/>
          <w:sz w:val="32"/>
          <w:szCs w:val="32"/>
        </w:rPr>
        <w:t>，评定为优秀；</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80（含）-90分</w:t>
      </w:r>
      <w:r>
        <w:rPr>
          <w:rFonts w:hint="eastAsia" w:ascii="仿宋_GB2312" w:hAnsi="宋体" w:eastAsia="仿宋_GB2312" w:cs="仿宋_GB2312"/>
          <w:sz w:val="32"/>
          <w:szCs w:val="32"/>
        </w:rPr>
        <w:t>之间，评定为良好；</w:t>
      </w:r>
    </w:p>
    <w:p>
      <w:pPr>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综合得分</w:t>
      </w:r>
      <w:r>
        <w:rPr>
          <w:rFonts w:hint="eastAsia" w:ascii="仿宋_GB2312" w:hAnsi="宋体" w:eastAsia="仿宋_GB2312" w:cs="宋体"/>
          <w:color w:val="000000"/>
          <w:kern w:val="0"/>
          <w:sz w:val="32"/>
          <w:szCs w:val="32"/>
        </w:rPr>
        <w:t>60（含）-80分</w:t>
      </w:r>
      <w:r>
        <w:rPr>
          <w:rFonts w:hint="eastAsia" w:ascii="仿宋_GB2312" w:hAnsi="宋体" w:eastAsia="仿宋_GB2312" w:cs="仿宋_GB2312"/>
          <w:sz w:val="32"/>
          <w:szCs w:val="32"/>
        </w:rPr>
        <w:t>之间，评定为</w:t>
      </w:r>
      <w:r>
        <w:rPr>
          <w:rFonts w:hint="eastAsia" w:ascii="仿宋_GB2312" w:hAnsi="宋体" w:eastAsia="仿宋_GB2312" w:cs="仿宋_GB2312"/>
          <w:sz w:val="32"/>
          <w:szCs w:val="32"/>
          <w:lang w:eastAsia="zh-CN"/>
        </w:rPr>
        <w:t>中</w:t>
      </w:r>
      <w:r>
        <w:rPr>
          <w:rFonts w:hint="eastAsia" w:ascii="仿宋_GB2312" w:hAnsi="宋体" w:eastAsia="仿宋_GB2312" w:cs="仿宋_GB2312"/>
          <w:sz w:val="32"/>
          <w:szCs w:val="32"/>
        </w:rPr>
        <w:t>；</w:t>
      </w:r>
    </w:p>
    <w:p>
      <w:pPr>
        <w:ind w:firstLine="640" w:firstLineChars="200"/>
        <w:rPr>
          <w:rFonts w:hint="eastAsia" w:ascii="仿宋_GB2312"/>
          <w:color w:val="000000"/>
          <w:sz w:val="32"/>
          <w:szCs w:val="32"/>
        </w:rPr>
      </w:pPr>
      <w:r>
        <w:rPr>
          <w:rFonts w:hint="eastAsia" w:ascii="仿宋_GB2312" w:hAnsi="宋体" w:eastAsia="仿宋_GB2312" w:cs="仿宋_GB2312"/>
          <w:sz w:val="32"/>
          <w:szCs w:val="32"/>
        </w:rPr>
        <w:t>综合得分</w:t>
      </w:r>
      <w:r>
        <w:rPr>
          <w:rFonts w:ascii="仿宋_GB2312" w:hAnsi="宋体" w:eastAsia="仿宋_GB2312" w:cs="仿宋_GB2312"/>
          <w:sz w:val="32"/>
          <w:szCs w:val="32"/>
        </w:rPr>
        <w:t>60</w:t>
      </w:r>
      <w:r>
        <w:rPr>
          <w:rFonts w:hint="eastAsia" w:ascii="仿宋_GB2312" w:hAnsi="宋体" w:eastAsia="仿宋_GB2312" w:cs="仿宋_GB2312"/>
          <w:sz w:val="32"/>
          <w:szCs w:val="32"/>
        </w:rPr>
        <w:t>分以下，评定为</w:t>
      </w:r>
      <w:r>
        <w:rPr>
          <w:rFonts w:hint="eastAsia" w:ascii="仿宋_GB2312" w:hAnsi="宋体" w:eastAsia="仿宋_GB2312" w:cs="仿宋_GB2312"/>
          <w:sz w:val="32"/>
          <w:szCs w:val="32"/>
          <w:lang w:eastAsia="zh-CN"/>
        </w:rPr>
        <w:t>差</w:t>
      </w:r>
      <w:r>
        <w:rPr>
          <w:rFonts w:hint="eastAsia" w:ascii="仿宋_GB2312" w:hAnsi="宋体" w:eastAsia="仿宋_GB2312" w:cs="仿宋_GB2312"/>
          <w:sz w:val="32"/>
          <w:szCs w:val="32"/>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对于未按预算批复内容执行，部门内部自行在项目子项目间调整资金用途超过项目金额30%的，在相应考评级次基础上下降一个考评级次；存在项目间或单位间挪用资金、违规违纪、弄虚作假等问题的，应评为较差，并视情节移交监督、审计、监察、司法部门。</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综合得分的计算过程如下：</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三级指标评分＝∑本级所含有的四级指标得分</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二级指标评分＝∑本级所含有的三级指标得分</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一级指标得分＝∑本级所含有的二级指标得分</w:t>
      </w:r>
    </w:p>
    <w:p>
      <w:pPr>
        <w:numPr>
          <w:ilvl w:val="0"/>
          <w:numId w:val="0"/>
        </w:numPr>
        <w:spacing w:line="600" w:lineRule="exact"/>
        <w:ind w:leftChars="200"/>
        <w:rPr>
          <w:rFonts w:hint="eastAsia" w:ascii="楷体_GB2312" w:hAnsi="楷体_GB2312" w:eastAsia="楷体_GB2312" w:cs="楷体_GB2312"/>
          <w:sz w:val="32"/>
          <w:szCs w:val="32"/>
        </w:rPr>
      </w:pPr>
      <w:r>
        <w:rPr>
          <w:rFonts w:hint="eastAsia" w:ascii="仿宋_GB2312" w:hAnsi="宋体" w:eastAsia="仿宋_GB2312" w:cs="仿宋_GB2312"/>
          <w:sz w:val="32"/>
          <w:szCs w:val="32"/>
        </w:rPr>
        <w:t>综合得分＝项目决策得分+项目管理得分+项目绩效得分</w:t>
      </w:r>
    </w:p>
    <w:p>
      <w:pPr>
        <w:pStyle w:val="3"/>
        <w:rPr>
          <w:rFonts w:hint="eastAsia"/>
        </w:rPr>
      </w:pPr>
      <w:bookmarkStart w:id="38" w:name="_Toc14777"/>
      <w:r>
        <w:rPr>
          <w:rFonts w:hint="eastAsia"/>
          <w:lang w:eastAsia="zh-CN"/>
        </w:rPr>
        <w:t>（三）</w:t>
      </w:r>
      <w:r>
        <w:rPr>
          <w:rFonts w:hint="eastAsia"/>
        </w:rPr>
        <w:t>绩效评价工作过程</w:t>
      </w:r>
      <w:bookmarkEnd w:id="38"/>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绩效评价工作程序主要分为准备评价阶段、实施评价阶段、评价分析阶段三个阶段。</w:t>
      </w:r>
    </w:p>
    <w:p>
      <w:pPr>
        <w:pStyle w:val="4"/>
        <w:rPr>
          <w:rFonts w:hint="eastAsia"/>
        </w:rPr>
      </w:pPr>
      <w:bookmarkStart w:id="39" w:name="_Toc5906_WPSOffice_Level2"/>
      <w:bookmarkStart w:id="40" w:name="_Toc26462"/>
      <w:r>
        <w:rPr>
          <w:rFonts w:hint="eastAsia"/>
        </w:rPr>
        <w:t>1.准备评价阶段</w:t>
      </w:r>
      <w:bookmarkEnd w:id="39"/>
      <w:bookmarkEnd w:id="40"/>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日为准备阶段，在明确委托方要求的前提下，编制符合项目特点的绩效评价工作方案；评价机构组建了项目工作组，入户辅导项目单位撰写绩效报告、准备资料、完善绩效目标申报表；完成财务专家遴选、专家培训等相关工作。</w:t>
      </w:r>
    </w:p>
    <w:p>
      <w:pPr>
        <w:pStyle w:val="4"/>
      </w:pPr>
      <w:bookmarkStart w:id="41" w:name="_Toc1064_WPSOffice_Level2"/>
      <w:bookmarkStart w:id="42" w:name="_Toc340589840"/>
      <w:bookmarkStart w:id="43" w:name="_Toc11844"/>
      <w:r>
        <w:t>2.</w:t>
      </w:r>
      <w:r>
        <w:rPr>
          <w:rFonts w:hint="eastAsia"/>
        </w:rPr>
        <w:t>实施评价阶段</w:t>
      </w:r>
      <w:bookmarkEnd w:id="41"/>
      <w:bookmarkEnd w:id="42"/>
      <w:bookmarkEnd w:id="43"/>
    </w:p>
    <w:p>
      <w:pPr>
        <w:adjustRightInd w:val="0"/>
        <w:snapToGrid w:val="0"/>
        <w:spacing w:line="360" w:lineRule="auto"/>
        <w:ind w:firstLine="640" w:firstLineChars="200"/>
        <w:rPr>
          <w:rFonts w:hint="eastAsia" w:ascii="仿宋_GB2312" w:hAnsi="宋体" w:eastAsia="仿宋_GB2312" w:cs="仿宋_GB2312"/>
          <w:sz w:val="32"/>
          <w:szCs w:val="32"/>
        </w:rPr>
      </w:pPr>
      <w:bookmarkStart w:id="44" w:name="_Toc340589841"/>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日为实施阶段，评价机构完成项目资料收集、整理和分析等工作，辅导项目单位完善绩效报告，形成绩效报告终稿；</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7</w:t>
      </w:r>
      <w:r>
        <w:rPr>
          <w:rFonts w:hint="eastAsia" w:ascii="仿宋_GB2312" w:hAnsi="宋体" w:eastAsia="仿宋_GB2312" w:cs="仿宋_GB2312"/>
          <w:sz w:val="32"/>
          <w:szCs w:val="32"/>
        </w:rPr>
        <w:t>日组织项目单位、专家组召开了绩效评价会议，专家组通过听取汇报、质询、查阅资料等方式，了解项目的执行情况，对项目进行了综合评价。</w:t>
      </w:r>
    </w:p>
    <w:p>
      <w:pPr>
        <w:adjustRightInd w:val="0"/>
        <w:snapToGrid w:val="0"/>
        <w:spacing w:line="360" w:lineRule="auto"/>
        <w:rPr>
          <w:rFonts w:hint="eastAsia" w:ascii="仿宋_GB2312" w:hAnsi="宋体" w:eastAsia="仿宋_GB2312" w:cs="仿宋_GB2312"/>
          <w:sz w:val="32"/>
          <w:szCs w:val="32"/>
        </w:rPr>
      </w:pPr>
      <w:bookmarkStart w:id="45" w:name="_Toc17155_WPSOffice_Level2"/>
      <w:r>
        <w:rPr>
          <w:rFonts w:ascii="仿宋_GB2312" w:hAnsi="宋体" w:eastAsia="仿宋_GB2312" w:cs="仿宋_GB2312"/>
          <w:sz w:val="32"/>
          <w:szCs w:val="32"/>
        </w:rPr>
        <w:t>3.</w:t>
      </w:r>
      <w:r>
        <w:rPr>
          <w:rFonts w:hint="eastAsia" w:ascii="仿宋_GB2312" w:hAnsi="宋体" w:eastAsia="仿宋_GB2312" w:cs="仿宋_GB2312"/>
          <w:sz w:val="32"/>
          <w:szCs w:val="32"/>
        </w:rPr>
        <w:t>评价分析阶段</w:t>
      </w:r>
      <w:bookmarkEnd w:id="44"/>
      <w:bookmarkEnd w:id="45"/>
    </w:p>
    <w:p>
      <w:pPr>
        <w:adjustRightInd w:val="0"/>
        <w:snapToGrid w:val="0"/>
        <w:spacing w:line="360" w:lineRule="auto"/>
        <w:ind w:firstLine="640" w:firstLineChars="200"/>
        <w:rPr>
          <w:rFonts w:hint="eastAsia" w:ascii="楷体_GB2312" w:hAnsi="楷体_GB2312" w:eastAsia="楷体_GB2312" w:cs="楷体_GB2312"/>
          <w:sz w:val="32"/>
          <w:szCs w:val="32"/>
        </w:rPr>
      </w:pPr>
      <w:r>
        <w:rPr>
          <w:rFonts w:ascii="仿宋_GB2312" w:hAnsi="宋体" w:eastAsia="仿宋_GB2312" w:cs="仿宋_GB2312"/>
          <w:sz w:val="32"/>
          <w:szCs w:val="32"/>
        </w:rPr>
        <w:t>20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日为评价分析阶段：评价机构对项目决策、管理、绩效进行综合分析，按照规定的文本格式和内容撰写绩效评价报告，并提交昌平检察院征求意见。202</w:t>
      </w:r>
      <w:r>
        <w:rPr>
          <w:rFonts w:hint="eastAsia" w:ascii="仿宋_GB2312" w:hAnsi="宋体" w:eastAsia="仿宋_GB2312" w:cs="仿宋_GB2312"/>
          <w:sz w:val="32"/>
          <w:szCs w:val="32"/>
          <w:lang w:val="en-US" w:eastAsia="zh-CN"/>
        </w:rPr>
        <w:t>3</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20</w:t>
      </w:r>
      <w:r>
        <w:rPr>
          <w:rFonts w:hint="eastAsia" w:ascii="仿宋_GB2312" w:hAnsi="宋体" w:eastAsia="仿宋_GB2312" w:cs="仿宋_GB2312"/>
          <w:sz w:val="32"/>
          <w:szCs w:val="32"/>
        </w:rPr>
        <w:t>日前，根据反馈意见修改形成绩效评价报告正式稿送达委托方。</w:t>
      </w:r>
    </w:p>
    <w:p>
      <w:pPr>
        <w:pStyle w:val="2"/>
        <w:rPr>
          <w:rFonts w:hint="eastAsia"/>
        </w:rPr>
      </w:pPr>
      <w:bookmarkStart w:id="46" w:name="_Toc2179"/>
      <w:bookmarkStart w:id="47" w:name="_Toc27340_WPSOffice_Level1"/>
      <w:r>
        <w:rPr>
          <w:rFonts w:hint="eastAsia"/>
          <w:lang w:eastAsia="zh-CN"/>
        </w:rPr>
        <w:t>三、</w:t>
      </w:r>
      <w:r>
        <w:rPr>
          <w:rFonts w:hint="eastAsia"/>
        </w:rPr>
        <w:t>综合评价情况及评价结论</w:t>
      </w:r>
      <w:bookmarkEnd w:id="46"/>
      <w:bookmarkEnd w:id="47"/>
    </w:p>
    <w:p>
      <w:pPr>
        <w:pStyle w:val="3"/>
        <w:rPr>
          <w:rFonts w:hint="eastAsia"/>
        </w:rPr>
      </w:pPr>
      <w:bookmarkStart w:id="48" w:name="_Toc325442843"/>
      <w:bookmarkStart w:id="49" w:name="_Toc27195"/>
      <w:bookmarkStart w:id="50" w:name="_Toc10071767"/>
      <w:bookmarkStart w:id="51" w:name="_Toc20899"/>
      <w:bookmarkStart w:id="52" w:name="_Toc27658_WPSOffice_Level2"/>
      <w:r>
        <w:rPr>
          <w:rFonts w:hint="eastAsia"/>
        </w:rPr>
        <w:t>（一）</w:t>
      </w:r>
      <w:bookmarkEnd w:id="48"/>
      <w:r>
        <w:rPr>
          <w:rFonts w:hint="eastAsia"/>
        </w:rPr>
        <w:t>项目绩效目标评价分析</w:t>
      </w:r>
      <w:bookmarkEnd w:id="49"/>
      <w:bookmarkEnd w:id="50"/>
      <w:bookmarkEnd w:id="51"/>
      <w:bookmarkEnd w:id="52"/>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该项目的绩效目标较为明确：促进信息化系统，有效提高办案人员工作效率；保障项目单位检务工作顺利开展；提高检察公信力的社会影响力。</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为了进一步规范和加强项目经费的管理，保障资金安全、高效运行，提高资金使用效益，昌平检察院制定了</w:t>
      </w:r>
      <w:bookmarkStart w:id="53" w:name="_Toc452105250"/>
      <w:bookmarkStart w:id="54" w:name="_Toc432690603"/>
      <w:r>
        <w:rPr>
          <w:rFonts w:hint="eastAsia" w:ascii="仿宋_GB2312" w:hAnsi="宋体" w:eastAsia="仿宋_GB2312" w:cs="仿宋_GB2312"/>
          <w:sz w:val="32"/>
          <w:szCs w:val="32"/>
        </w:rPr>
        <w:t>《北京市昌平区人民检察院财务管理规定》、《</w:t>
      </w:r>
      <w:bookmarkEnd w:id="53"/>
      <w:bookmarkEnd w:id="54"/>
      <w:r>
        <w:rPr>
          <w:rFonts w:hint="eastAsia" w:ascii="仿宋_GB2312" w:hAnsi="宋体" w:eastAsia="仿宋_GB2312" w:cs="仿宋_GB2312"/>
          <w:sz w:val="32"/>
          <w:szCs w:val="32"/>
        </w:rPr>
        <w:t>北京市昌平区人民检察院大额资金支出管理办法》、《北京市昌平区人民检察院预算编制管理制度》等管理制度，加强资金使用的过程管理，具体体现在：</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cs="仿宋_GB2312"/>
          <w:sz w:val="32"/>
          <w:szCs w:val="32"/>
        </w:rPr>
        <w:t>（1）遵守《北京市昌平区人民检察院财务管理规定》中的合同管理，</w:t>
      </w:r>
      <w:r>
        <w:rPr>
          <w:rFonts w:hint="eastAsia" w:ascii="仿宋_GB2312" w:hAnsi="宋体" w:eastAsia="仿宋_GB2312"/>
          <w:sz w:val="32"/>
          <w:szCs w:val="32"/>
        </w:rPr>
        <w:t>北京市昌平区人民检察院与北京华宇信息技术有限公司签订了《北京市昌平区人民检察院计算机信息网络系统维护合同书》。</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cs="仿宋_GB2312"/>
          <w:sz w:val="32"/>
          <w:szCs w:val="32"/>
        </w:rPr>
        <w:t>（2）遵守</w:t>
      </w:r>
      <w:r>
        <w:rPr>
          <w:rFonts w:hint="eastAsia" w:ascii="仿宋_GB2312" w:hAnsi="宋体" w:eastAsia="仿宋_GB2312" w:cs="宋体"/>
          <w:kern w:val="0"/>
          <w:sz w:val="32"/>
          <w:szCs w:val="32"/>
        </w:rPr>
        <w:t>财务审批权限管理，支付时，填制办理《财政授权支付凭证》。</w:t>
      </w:r>
    </w:p>
    <w:p>
      <w:pPr>
        <w:adjustRightInd w:val="0"/>
        <w:snapToGrid w:val="0"/>
        <w:spacing w:line="360" w:lineRule="auto"/>
        <w:ind w:firstLine="640" w:firstLineChars="200"/>
        <w:rPr>
          <w:rFonts w:ascii="宋体" w:hAnsi="宋体"/>
          <w:sz w:val="24"/>
          <w:szCs w:val="24"/>
        </w:rPr>
      </w:pPr>
      <w:r>
        <w:rPr>
          <w:rFonts w:hint="eastAsia" w:ascii="仿宋_GB2312" w:hAnsi="宋体" w:eastAsia="仿宋_GB2312" w:cs="仿宋_GB2312"/>
          <w:sz w:val="32"/>
          <w:szCs w:val="32"/>
        </w:rPr>
        <w:t>（</w:t>
      </w:r>
      <w:r>
        <w:rPr>
          <w:rFonts w:hint="eastAsia" w:ascii="仿宋_GB2312" w:hAnsi="宋体" w:eastAsia="仿宋_GB2312" w:cs="宋体"/>
          <w:kern w:val="0"/>
          <w:sz w:val="32"/>
          <w:szCs w:val="32"/>
        </w:rPr>
        <w:t>3）</w:t>
      </w:r>
      <w:r>
        <w:rPr>
          <w:rFonts w:hint="eastAsia" w:ascii="仿宋_GB2312" w:hAnsi="宋体" w:eastAsia="仿宋_GB2312" w:cs="仿宋_GB2312"/>
          <w:sz w:val="32"/>
          <w:szCs w:val="32"/>
        </w:rPr>
        <w:t>遵守</w:t>
      </w:r>
      <w:r>
        <w:rPr>
          <w:rFonts w:hint="eastAsia" w:ascii="仿宋_GB2312" w:hAnsi="宋体" w:eastAsia="仿宋_GB2312" w:cs="宋体"/>
          <w:kern w:val="0"/>
          <w:sz w:val="32"/>
          <w:szCs w:val="32"/>
        </w:rPr>
        <w:t>票据管理，使用支票支付，收取《北京增值税电子普通发票》。</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项目组经讨论评价认为该运维项目资金管理制度较为完善</w:t>
      </w:r>
      <w:r>
        <w:rPr>
          <w:rFonts w:hint="eastAsia" w:ascii="仿宋_GB2312" w:hAnsi="宋体" w:eastAsia="仿宋_GB2312"/>
          <w:sz w:val="32"/>
          <w:szCs w:val="32"/>
        </w:rPr>
        <w:t>，</w:t>
      </w:r>
      <w:r>
        <w:rPr>
          <w:rFonts w:hint="eastAsia" w:ascii="仿宋_GB2312" w:hAnsi="宋体" w:eastAsia="仿宋_GB2312" w:cs="仿宋_GB2312"/>
          <w:sz w:val="32"/>
          <w:szCs w:val="32"/>
        </w:rPr>
        <w:t>资金使用及管理情况</w:t>
      </w:r>
      <w:r>
        <w:rPr>
          <w:rFonts w:hint="eastAsia" w:ascii="仿宋_GB2312" w:hAnsi="宋体" w:eastAsia="仿宋_GB2312"/>
          <w:sz w:val="32"/>
          <w:szCs w:val="32"/>
        </w:rPr>
        <w:t>较为规范，服务合同，财政授权支付凭证、发票等附件较为齐全。</w:t>
      </w:r>
      <w:r>
        <w:rPr>
          <w:rFonts w:hint="eastAsia" w:ascii="仿宋_GB2312" w:hAnsi="仿宋" w:eastAsia="仿宋_GB2312"/>
          <w:sz w:val="32"/>
          <w:szCs w:val="32"/>
        </w:rPr>
        <w:t>未发现资金挪用、</w:t>
      </w:r>
      <w:r>
        <w:rPr>
          <w:rFonts w:hint="eastAsia" w:ascii="仿宋_GB2312" w:hAnsi="仿宋_GB2312" w:eastAsia="仿宋_GB2312"/>
          <w:sz w:val="32"/>
        </w:rPr>
        <w:t>截留等违规情况。</w:t>
      </w:r>
    </w:p>
    <w:p>
      <w:pPr>
        <w:pStyle w:val="3"/>
        <w:rPr>
          <w:rFonts w:hint="eastAsia"/>
        </w:rPr>
      </w:pPr>
      <w:bookmarkStart w:id="55" w:name="_Toc6236_WPSOffice_Level2"/>
      <w:bookmarkStart w:id="56" w:name="_Toc13491"/>
      <w:bookmarkStart w:id="57" w:name="_Toc158"/>
      <w:bookmarkStart w:id="58" w:name="_Toc363542287"/>
      <w:bookmarkStart w:id="59" w:name="_Toc2161_WPSOffice_Level2"/>
      <w:bookmarkStart w:id="60" w:name="_Toc10071768"/>
      <w:r>
        <w:rPr>
          <w:rFonts w:hint="eastAsia"/>
        </w:rPr>
        <w:t>（二）项目产出及效果评价分析</w:t>
      </w:r>
      <w:bookmarkEnd w:id="55"/>
      <w:bookmarkEnd w:id="56"/>
      <w:bookmarkEnd w:id="57"/>
      <w:bookmarkEnd w:id="58"/>
      <w:bookmarkEnd w:id="59"/>
      <w:bookmarkEnd w:id="60"/>
    </w:p>
    <w:p>
      <w:pPr>
        <w:pStyle w:val="4"/>
        <w:rPr>
          <w:rFonts w:hint="eastAsia"/>
        </w:rPr>
      </w:pPr>
      <w:r>
        <w:rPr>
          <w:rFonts w:hint="eastAsia"/>
        </w:rPr>
        <w:t xml:space="preserve"> </w:t>
      </w:r>
      <w:bookmarkStart w:id="61" w:name="_Toc27969"/>
      <w:bookmarkStart w:id="62" w:name="_Toc10071769"/>
      <w:bookmarkStart w:id="63" w:name="_Toc25297_WPSOffice_Level3"/>
      <w:bookmarkStart w:id="64" w:name="_Toc24262"/>
      <w:r>
        <w:rPr>
          <w:rFonts w:hint="eastAsia"/>
        </w:rPr>
        <w:t>1．项目经济性分析</w:t>
      </w:r>
      <w:bookmarkEnd w:id="61"/>
      <w:bookmarkEnd w:id="62"/>
      <w:bookmarkEnd w:id="63"/>
      <w:bookmarkEnd w:id="64"/>
    </w:p>
    <w:p>
      <w:pPr>
        <w:adjustRightInd w:val="0"/>
        <w:snapToGrid w:val="0"/>
        <w:spacing w:line="360" w:lineRule="auto"/>
        <w:ind w:firstLine="640" w:firstLineChars="200"/>
        <w:rPr>
          <w:rFonts w:hint="eastAsia" w:ascii="仿宋_GB2312" w:hAnsi="仿宋_GB2312" w:eastAsia="仿宋_GB2312"/>
          <w:sz w:val="32"/>
          <w:szCs w:val="32"/>
        </w:rPr>
      </w:pPr>
      <w:r>
        <w:rPr>
          <w:rFonts w:hint="eastAsia" w:ascii="仿宋_GB2312" w:hAnsi="仿宋_GB2312" w:eastAsia="仿宋_GB2312"/>
          <w:sz w:val="32"/>
        </w:rPr>
        <w:t>该项目依据相关财务管理制度使用资金，但由于预算编制的细化量化程度不足，不利于项目在实施过程中的成本控制</w:t>
      </w:r>
      <w:r>
        <w:rPr>
          <w:rFonts w:hint="eastAsia" w:ascii="仿宋_GB2312" w:hAnsi="仿宋_GB2312" w:eastAsia="仿宋_GB2312"/>
          <w:sz w:val="32"/>
          <w:szCs w:val="32"/>
        </w:rPr>
        <w:t>。</w:t>
      </w:r>
    </w:p>
    <w:p>
      <w:pPr>
        <w:pStyle w:val="4"/>
        <w:rPr>
          <w:rFonts w:hint="eastAsia"/>
        </w:rPr>
      </w:pPr>
      <w:r>
        <w:rPr>
          <w:rFonts w:hint="eastAsia"/>
        </w:rPr>
        <w:t xml:space="preserve"> </w:t>
      </w:r>
      <w:bookmarkStart w:id="65" w:name="_Toc10071770"/>
      <w:bookmarkStart w:id="66" w:name="_Toc9331"/>
      <w:bookmarkStart w:id="67" w:name="_Toc19428"/>
      <w:bookmarkStart w:id="68" w:name="_Toc3227_WPSOffice_Level3"/>
      <w:r>
        <w:rPr>
          <w:rFonts w:hint="eastAsia"/>
        </w:rPr>
        <w:t>2．项目效率性分析</w:t>
      </w:r>
      <w:bookmarkEnd w:id="65"/>
      <w:bookmarkEnd w:id="66"/>
      <w:bookmarkEnd w:id="67"/>
      <w:bookmarkEnd w:id="68"/>
    </w:p>
    <w:p>
      <w:pPr>
        <w:adjustRightInd w:val="0"/>
        <w:snapToGrid w:val="0"/>
        <w:spacing w:line="360" w:lineRule="auto"/>
        <w:ind w:firstLine="640" w:firstLineChars="200"/>
        <w:rPr>
          <w:rFonts w:ascii="仿宋_GB2312" w:hAnsi="宋体" w:eastAsia="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1</w:t>
      </w:r>
      <w:r>
        <w:rPr>
          <w:rFonts w:hint="eastAsia" w:ascii="仿宋_GB2312" w:hAnsi="宋体" w:eastAsia="仿宋_GB2312" w:cs="仿宋_GB2312"/>
          <w:sz w:val="32"/>
          <w:szCs w:val="32"/>
        </w:rPr>
        <w:t>）项目的实施进度</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该项目在年度内完成项目内容，实施进度良好。</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w:t>
      </w:r>
      <w:r>
        <w:rPr>
          <w:rFonts w:ascii="仿宋_GB2312" w:hAnsi="宋体" w:eastAsia="仿宋_GB2312" w:cs="仿宋_GB2312"/>
          <w:sz w:val="32"/>
          <w:szCs w:val="32"/>
        </w:rPr>
        <w:t>2</w:t>
      </w:r>
      <w:r>
        <w:rPr>
          <w:rFonts w:hint="eastAsia" w:ascii="仿宋_GB2312" w:hAnsi="宋体" w:eastAsia="仿宋_GB2312" w:cs="仿宋_GB2312"/>
          <w:sz w:val="32"/>
          <w:szCs w:val="32"/>
        </w:rPr>
        <w:t>）项目完成质量</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该项目在执行过程中，执行ISO9001质量管理体系，确保服务质量符合要求。</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昌平检察院信息化系统涉及的技术多而且细，故障点多，给维护工作带来很大的困难。在运维过程中，着重预防，力争在故障发生之前，找到问题、解决问题隐患，而不是在问题出现之后去解决。规避故障风险将是维护工作的难点，是维护工作的重要内容。</w:t>
      </w:r>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系统的运行过程中，通过日常的监测工具、定期的系统检测，丰富的工程师维护经验，对系统中可能出现的问题进行提前排查，排除系统中存在的问题隐患，避免事故的发生。</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在2</w:t>
      </w:r>
      <w:r>
        <w:rPr>
          <w:rFonts w:ascii="仿宋_GB2312" w:hAnsi="宋体" w:eastAsia="仿宋_GB2312" w:cs="仿宋_GB2312"/>
          <w:sz w:val="32"/>
          <w:szCs w:val="32"/>
        </w:rPr>
        <w:t>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年全年的运维服务中，按照既定运维服务指标及内容完成了全部运维工作。</w:t>
      </w:r>
    </w:p>
    <w:p>
      <w:pPr>
        <w:pStyle w:val="4"/>
        <w:rPr>
          <w:rFonts w:hint="eastAsia"/>
        </w:rPr>
      </w:pPr>
      <w:r>
        <w:rPr>
          <w:rFonts w:hint="eastAsia"/>
        </w:rPr>
        <w:t xml:space="preserve"> </w:t>
      </w:r>
      <w:bookmarkStart w:id="69" w:name="_Toc26244"/>
      <w:bookmarkStart w:id="70" w:name="_Toc3763"/>
      <w:bookmarkStart w:id="71" w:name="_Toc10071771"/>
      <w:bookmarkStart w:id="72" w:name="_Toc19886_WPSOffice_Level3"/>
      <w:r>
        <w:rPr>
          <w:rFonts w:hint="eastAsia"/>
        </w:rPr>
        <w:t>3．项目效益性分析</w:t>
      </w:r>
      <w:bookmarkEnd w:id="69"/>
      <w:bookmarkEnd w:id="70"/>
      <w:bookmarkEnd w:id="71"/>
      <w:bookmarkEnd w:id="72"/>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本项目依照既定目标完成了运维服务。</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通过对系统管理与维护全过程的控制，促使系统维护工作按时、保证质量的完成。引入科学的质量管理方法论，建立系统的、规范的、科学的质量保证体系。从质量管理角度详细划分系统管理与维护中的各个环节（即所谓过程），控制各个环节的质量，并进行持续改进，从而有效保证系统建设的质量，确保满足质量目标。</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系统运行过程中，随时可能出现各种问题，快速、优质的处理问题，避免问题的扩大，将损失降低到最小，保障系统应用的继续进行，是对维护队伍工作能力、素质高低的考验，也是维护工作的主要工作内容。</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对系统中发生的问题进行实时处理，对重大事故做到及时汇报，提交相关的故障报告，对技术难点不能及时解决的问题反映至运维公司，调配相关各类资源，全力保障故障的处理。</w:t>
      </w:r>
    </w:p>
    <w:p>
      <w:pPr>
        <w:adjustRightInd w:val="0"/>
        <w:snapToGrid w:val="0"/>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系统升级和调试阶段，无论是在软件上，还是在硬件上，会有一部分功能设计和系统的实际应用有一定的出入，通过实际业务的调研、系统的进一步使用，尽早的发现这些设计中考虑不周全的地方，通过实践进行系统各方面优化，让系统更好的满足应用，是维护工作中一个必不可少的工作内容。</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保障系统安全的最终目的是保障数据的安全，昌平人民检察院信息系统内部数据种类多，而且随着应用的推广，数据的存储量将会越来越多，对业务的正常开展所起的作用也越来越大，保障数据的安全和保密，保障院内工作的顺利进行。</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对日常所采集数据进行有效存储，对重要数据进行多介质、多场所、定期备份，对备份介质进行专人保管，制定完备的数据备份策略，建立完整、有效的数据存储、备份管理制度，为院内业务的正常运行提供可靠的保障。</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定期对存储、备份的数据进行可靠性检测，制定完备的数据恢复操作规范，一旦出现数据故障，用最快速度恢复数据，保障院内业务的正常运行。</w:t>
      </w:r>
    </w:p>
    <w:p>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仿宋" w:eastAsia="仿宋_GB2312"/>
          <w:sz w:val="32"/>
          <w:szCs w:val="32"/>
        </w:rPr>
        <w:t>建立维护人员安全保密规范，进行操作授权管理；保障数据传输平台的安全性，保障数据传输过程中无丢失、损坏，系统的使用过程中，对院内数据进行人员访问权限设定，建立详细、全面数据保密制度。</w:t>
      </w:r>
    </w:p>
    <w:p>
      <w:pPr>
        <w:pStyle w:val="3"/>
        <w:rPr>
          <w:rFonts w:hint="eastAsia"/>
        </w:rPr>
      </w:pPr>
      <w:bookmarkStart w:id="73" w:name="_Toc21665_WPSOffice_Level2"/>
      <w:bookmarkStart w:id="74" w:name="_Toc17594"/>
      <w:bookmarkStart w:id="75" w:name="_Toc19215"/>
      <w:bookmarkStart w:id="76" w:name="_Toc10071772"/>
      <w:r>
        <w:rPr>
          <w:rFonts w:hint="eastAsia"/>
          <w:lang w:val="en-US" w:eastAsia="zh-CN"/>
        </w:rPr>
        <w:t>(三）评价结论</w:t>
      </w:r>
      <w:bookmarkEnd w:id="73"/>
      <w:bookmarkEnd w:id="74"/>
      <w:bookmarkEnd w:id="75"/>
      <w:bookmarkEnd w:id="76"/>
    </w:p>
    <w:p>
      <w:pPr>
        <w:adjustRightInd w:val="0"/>
        <w:snapToGrid w:val="0"/>
        <w:spacing w:line="360" w:lineRule="auto"/>
        <w:ind w:firstLine="640" w:firstLineChars="200"/>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通过评价，项目综合评价得分</w:t>
      </w:r>
      <w:r>
        <w:rPr>
          <w:rFonts w:hint="eastAsia" w:ascii="仿宋_GB2312" w:hAnsi="宋体" w:eastAsia="仿宋_GB2312" w:cs="宋体"/>
          <w:kern w:val="0"/>
          <w:sz w:val="32"/>
          <w:szCs w:val="32"/>
          <w:lang w:val="en-US" w:eastAsia="zh-CN"/>
        </w:rPr>
        <w:t>90</w:t>
      </w:r>
      <w:r>
        <w:rPr>
          <w:rFonts w:hint="eastAsia" w:ascii="仿宋_GB2312" w:hAnsi="宋体" w:eastAsia="仿宋_GB2312" w:cs="宋体"/>
          <w:kern w:val="0"/>
          <w:sz w:val="32"/>
          <w:szCs w:val="32"/>
        </w:rPr>
        <w:t>分，项目综合评定结论为“</w:t>
      </w:r>
      <w:r>
        <w:rPr>
          <w:rFonts w:hint="eastAsia" w:ascii="仿宋_GB2312" w:hAnsi="宋体" w:eastAsia="仿宋_GB2312" w:cs="宋体"/>
          <w:kern w:val="0"/>
          <w:sz w:val="32"/>
          <w:szCs w:val="32"/>
          <w:lang w:eastAsia="zh-CN"/>
        </w:rPr>
        <w:t>优</w:t>
      </w:r>
      <w:r>
        <w:rPr>
          <w:rFonts w:hint="eastAsia" w:ascii="仿宋_GB2312" w:hAnsi="宋体" w:eastAsia="仿宋_GB2312" w:cs="宋体"/>
          <w:kern w:val="0"/>
          <w:sz w:val="32"/>
          <w:szCs w:val="32"/>
        </w:rPr>
        <w:t>”。该项目得分和级别评定情况如下</w:t>
      </w:r>
      <w:r>
        <w:rPr>
          <w:rFonts w:hint="eastAsia" w:ascii="仿宋_GB2312" w:hAnsi="宋体" w:eastAsia="仿宋_GB2312" w:cs="宋体"/>
          <w:kern w:val="0"/>
          <w:sz w:val="32"/>
          <w:szCs w:val="32"/>
          <w:lang w:eastAsia="zh-CN"/>
        </w:rPr>
        <w:t>。</w:t>
      </w:r>
    </w:p>
    <w:tbl>
      <w:tblPr>
        <w:tblStyle w:val="18"/>
        <w:tblW w:w="85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3"/>
        <w:gridCol w:w="2245"/>
        <w:gridCol w:w="2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63"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评价内容</w:t>
            </w:r>
          </w:p>
        </w:tc>
        <w:tc>
          <w:tcPr>
            <w:tcW w:w="2245"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该项分值</w:t>
            </w:r>
          </w:p>
        </w:tc>
        <w:tc>
          <w:tcPr>
            <w:tcW w:w="2973" w:type="dxa"/>
            <w:vMerge w:val="restart"/>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363" w:type="dxa"/>
            <w:vMerge w:val="continue"/>
            <w:vAlign w:val="center"/>
          </w:tcPr>
          <w:p>
            <w:pPr>
              <w:widowControl/>
              <w:jc w:val="left"/>
              <w:rPr>
                <w:rFonts w:ascii="黑体" w:hAnsi="宋体" w:eastAsia="黑体"/>
                <w:b/>
                <w:bCs/>
                <w:kern w:val="0"/>
                <w:sz w:val="28"/>
                <w:szCs w:val="28"/>
              </w:rPr>
            </w:pPr>
          </w:p>
        </w:tc>
        <w:tc>
          <w:tcPr>
            <w:tcW w:w="2245" w:type="dxa"/>
            <w:vMerge w:val="continue"/>
            <w:vAlign w:val="center"/>
          </w:tcPr>
          <w:p>
            <w:pPr>
              <w:widowControl/>
              <w:jc w:val="left"/>
              <w:rPr>
                <w:rFonts w:ascii="黑体" w:hAnsi="宋体" w:eastAsia="黑体"/>
                <w:b/>
                <w:bCs/>
                <w:kern w:val="0"/>
                <w:sz w:val="28"/>
                <w:szCs w:val="28"/>
              </w:rPr>
            </w:pPr>
          </w:p>
        </w:tc>
        <w:tc>
          <w:tcPr>
            <w:tcW w:w="2973" w:type="dxa"/>
            <w:vMerge w:val="continue"/>
            <w:vAlign w:val="center"/>
          </w:tcPr>
          <w:p>
            <w:pPr>
              <w:widowControl/>
              <w:jc w:val="left"/>
              <w:rPr>
                <w:rFonts w:ascii="黑体" w:hAnsi="宋体" w:eastAsia="黑体"/>
                <w:b/>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项目决策</w:t>
            </w:r>
          </w:p>
        </w:tc>
        <w:tc>
          <w:tcPr>
            <w:tcW w:w="2245" w:type="dxa"/>
            <w:shd w:val="clear" w:color="auto" w:fill="C0C0C0"/>
            <w:vAlign w:val="center"/>
          </w:tcPr>
          <w:p>
            <w:pPr>
              <w:widowControl/>
              <w:jc w:val="center"/>
              <w:rPr>
                <w:sz w:val="28"/>
                <w:szCs w:val="28"/>
              </w:rPr>
            </w:pPr>
            <w:r>
              <w:rPr>
                <w:sz w:val="28"/>
                <w:szCs w:val="28"/>
              </w:rPr>
              <w:t>15</w:t>
            </w:r>
          </w:p>
        </w:tc>
        <w:tc>
          <w:tcPr>
            <w:tcW w:w="2973" w:type="dxa"/>
            <w:shd w:val="clear" w:color="auto" w:fill="C0C0C0"/>
            <w:vAlign w:val="top"/>
          </w:tcPr>
          <w:p>
            <w:pPr>
              <w:widowControl/>
              <w:jc w:val="center"/>
              <w:rPr>
                <w:rFonts w:hint="eastAsia" w:eastAsia="宋体"/>
                <w:sz w:val="28"/>
                <w:szCs w:val="28"/>
                <w:lang w:eastAsia="zh-CN"/>
              </w:rPr>
            </w:pPr>
            <w:r>
              <w:rPr>
                <w:rFonts w:hint="eastAsia"/>
                <w:sz w:val="28"/>
                <w:szCs w:val="28"/>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项目管理</w:t>
            </w:r>
          </w:p>
        </w:tc>
        <w:tc>
          <w:tcPr>
            <w:tcW w:w="2245" w:type="dxa"/>
            <w:shd w:val="clear" w:color="auto" w:fill="C0C0C0"/>
            <w:vAlign w:val="center"/>
          </w:tcPr>
          <w:p>
            <w:pPr>
              <w:widowControl/>
              <w:jc w:val="center"/>
              <w:rPr>
                <w:sz w:val="28"/>
                <w:szCs w:val="28"/>
              </w:rPr>
            </w:pPr>
            <w:r>
              <w:rPr>
                <w:sz w:val="28"/>
                <w:szCs w:val="28"/>
              </w:rPr>
              <w:t>30</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项目绩效</w:t>
            </w:r>
          </w:p>
        </w:tc>
        <w:tc>
          <w:tcPr>
            <w:tcW w:w="2245" w:type="dxa"/>
            <w:shd w:val="clear" w:color="auto" w:fill="C0C0C0"/>
            <w:vAlign w:val="center"/>
          </w:tcPr>
          <w:p>
            <w:pPr>
              <w:widowControl/>
              <w:jc w:val="center"/>
              <w:rPr>
                <w:rFonts w:ascii="黑体" w:hAnsi="宋体" w:eastAsia="黑体"/>
                <w:kern w:val="0"/>
                <w:sz w:val="28"/>
                <w:szCs w:val="28"/>
              </w:rPr>
            </w:pPr>
            <w:r>
              <w:rPr>
                <w:sz w:val="28"/>
                <w:szCs w:val="28"/>
              </w:rPr>
              <w:t>55</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3363" w:type="dxa"/>
            <w:shd w:val="clear" w:color="auto" w:fill="C0C0C0"/>
            <w:vAlign w:val="center"/>
          </w:tcPr>
          <w:p>
            <w:pPr>
              <w:widowControl/>
              <w:jc w:val="center"/>
              <w:rPr>
                <w:rFonts w:ascii="黑体" w:hAnsi="宋体" w:eastAsia="黑体"/>
                <w:kern w:val="0"/>
                <w:sz w:val="28"/>
                <w:szCs w:val="28"/>
              </w:rPr>
            </w:pPr>
            <w:r>
              <w:rPr>
                <w:rFonts w:hint="eastAsia" w:ascii="黑体" w:hAnsi="宋体" w:eastAsia="黑体" w:cs="黑体"/>
                <w:kern w:val="0"/>
                <w:sz w:val="28"/>
                <w:szCs w:val="28"/>
              </w:rPr>
              <w:t>综合评价</w:t>
            </w:r>
          </w:p>
        </w:tc>
        <w:tc>
          <w:tcPr>
            <w:tcW w:w="2245" w:type="dxa"/>
            <w:shd w:val="clear" w:color="auto" w:fill="C0C0C0"/>
            <w:vAlign w:val="center"/>
          </w:tcPr>
          <w:p>
            <w:pPr>
              <w:widowControl/>
              <w:jc w:val="center"/>
              <w:rPr>
                <w:sz w:val="28"/>
                <w:szCs w:val="28"/>
              </w:rPr>
            </w:pPr>
            <w:r>
              <w:rPr>
                <w:sz w:val="28"/>
                <w:szCs w:val="28"/>
              </w:rPr>
              <w:t>100</w:t>
            </w:r>
          </w:p>
        </w:tc>
        <w:tc>
          <w:tcPr>
            <w:tcW w:w="2973" w:type="dxa"/>
            <w:shd w:val="clear" w:color="auto" w:fill="C0C0C0"/>
            <w:vAlign w:val="top"/>
          </w:tcPr>
          <w:p>
            <w:pPr>
              <w:widowControl/>
              <w:jc w:val="center"/>
              <w:rPr>
                <w:rFonts w:hint="default" w:eastAsia="宋体"/>
                <w:sz w:val="28"/>
                <w:szCs w:val="28"/>
                <w:lang w:val="en-US" w:eastAsia="zh-CN"/>
              </w:rPr>
            </w:pPr>
            <w:r>
              <w:rPr>
                <w:rFonts w:hint="eastAsia"/>
                <w:sz w:val="28"/>
                <w:szCs w:val="28"/>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jc w:val="center"/>
        </w:trPr>
        <w:tc>
          <w:tcPr>
            <w:tcW w:w="3363" w:type="dxa"/>
            <w:shd w:val="clear" w:color="auto" w:fill="C0C0C0"/>
            <w:vAlign w:val="center"/>
          </w:tcPr>
          <w:p>
            <w:pPr>
              <w:widowControl/>
              <w:jc w:val="center"/>
              <w:rPr>
                <w:rFonts w:ascii="黑体" w:hAnsi="宋体" w:eastAsia="黑体"/>
                <w:b/>
                <w:bCs/>
                <w:kern w:val="0"/>
                <w:sz w:val="28"/>
                <w:szCs w:val="28"/>
              </w:rPr>
            </w:pPr>
            <w:r>
              <w:rPr>
                <w:rFonts w:hint="eastAsia" w:ascii="黑体" w:hAnsi="宋体" w:eastAsia="黑体" w:cs="黑体"/>
                <w:b/>
                <w:bCs/>
                <w:kern w:val="0"/>
                <w:sz w:val="28"/>
                <w:szCs w:val="28"/>
              </w:rPr>
              <w:t>绩效级别评定</w:t>
            </w:r>
          </w:p>
        </w:tc>
        <w:tc>
          <w:tcPr>
            <w:tcW w:w="5218" w:type="dxa"/>
            <w:gridSpan w:val="2"/>
            <w:shd w:val="clear" w:color="auto" w:fill="C0C0C0"/>
            <w:vAlign w:val="center"/>
          </w:tcPr>
          <w:p>
            <w:pPr>
              <w:jc w:val="center"/>
              <w:rPr>
                <w:rFonts w:hint="eastAsia" w:ascii="黑体" w:hAnsi="宋体" w:eastAsia="黑体"/>
                <w:b/>
                <w:bCs/>
                <w:kern w:val="0"/>
                <w:sz w:val="28"/>
                <w:szCs w:val="28"/>
              </w:rPr>
            </w:pPr>
            <w:r>
              <w:rPr>
                <w:rFonts w:hint="eastAsia" w:ascii="仿宋_GB2312" w:hAnsi="宋体" w:eastAsia="仿宋_GB2312" w:cs="宋体"/>
                <w:kern w:val="0"/>
                <w:sz w:val="32"/>
                <w:szCs w:val="32"/>
                <w:lang w:eastAsia="zh-CN"/>
              </w:rPr>
              <w:t>优</w:t>
            </w:r>
          </w:p>
        </w:tc>
      </w:tr>
    </w:tbl>
    <w:p>
      <w:pPr>
        <w:numPr>
          <w:ilvl w:val="0"/>
          <w:numId w:val="0"/>
        </w:numPr>
        <w:spacing w:line="600" w:lineRule="exact"/>
        <w:rPr>
          <w:rFonts w:hint="eastAsia" w:ascii="黑体" w:hAnsi="黑体" w:eastAsia="黑体" w:cs="黑体"/>
          <w:sz w:val="32"/>
          <w:szCs w:val="32"/>
        </w:rPr>
      </w:pPr>
    </w:p>
    <w:p>
      <w:pPr>
        <w:pStyle w:val="2"/>
        <w:rPr>
          <w:rFonts w:hint="eastAsia"/>
          <w:lang w:eastAsia="zh-CN"/>
        </w:rPr>
      </w:pPr>
      <w:bookmarkStart w:id="77" w:name="_Toc24021"/>
      <w:bookmarkStart w:id="78" w:name="_Toc24414_WPSOffice_Level1"/>
      <w:r>
        <w:rPr>
          <w:rFonts w:hint="eastAsia"/>
          <w:lang w:eastAsia="zh-CN"/>
        </w:rPr>
        <w:t>四、绩效评价指标分析</w:t>
      </w:r>
      <w:bookmarkEnd w:id="77"/>
      <w:bookmarkEnd w:id="78"/>
    </w:p>
    <w:p>
      <w:pPr>
        <w:pStyle w:val="3"/>
        <w:rPr>
          <w:rFonts w:hint="eastAsia"/>
        </w:rPr>
      </w:pPr>
      <w:bookmarkStart w:id="79" w:name="_Toc25188"/>
      <w:bookmarkStart w:id="80" w:name="_Toc30162_WPSOffice_Level2"/>
      <w:r>
        <w:rPr>
          <w:rFonts w:hint="eastAsia"/>
        </w:rPr>
        <w:t>（一）项目决策情况</w:t>
      </w:r>
      <w:bookmarkEnd w:id="79"/>
      <w:bookmarkEnd w:id="80"/>
      <w:bookmarkStart w:id="109" w:name="_GoBack"/>
      <w:bookmarkEnd w:id="109"/>
    </w:p>
    <w:p>
      <w:pPr>
        <w:ind w:firstLine="640" w:firstLineChars="200"/>
        <w:jc w:val="left"/>
        <w:rPr>
          <w:rFonts w:hint="eastAsia" w:ascii="楷体_GB2312" w:hAnsi="楷体_GB2312" w:eastAsia="楷体_GB2312" w:cs="楷体_GB2312"/>
          <w:sz w:val="32"/>
          <w:szCs w:val="32"/>
        </w:rPr>
      </w:pPr>
      <w:r>
        <w:rPr>
          <w:rFonts w:hint="eastAsia" w:ascii="Arial" w:hAnsi="Arial" w:eastAsia="仿宋_GB2312" w:cs="仿宋_GB2312"/>
          <w:sz w:val="32"/>
          <w:szCs w:val="32"/>
        </w:rPr>
        <w:t>经参与党组会议相关领导听取该项目合同的情况汇报，同意续签该项目相关合同。</w:t>
      </w:r>
    </w:p>
    <w:p>
      <w:pPr>
        <w:pStyle w:val="3"/>
        <w:rPr>
          <w:rFonts w:hint="eastAsia"/>
        </w:rPr>
      </w:pPr>
      <w:bookmarkStart w:id="81" w:name="_Toc816_WPSOffice_Level2"/>
      <w:bookmarkStart w:id="82" w:name="_Toc8389"/>
      <w:r>
        <w:rPr>
          <w:rFonts w:hint="eastAsia"/>
          <w:lang w:eastAsia="zh-CN"/>
        </w:rPr>
        <w:t>（二）</w:t>
      </w:r>
      <w:r>
        <w:rPr>
          <w:rFonts w:hint="eastAsia"/>
        </w:rPr>
        <w:t>项目过程情况</w:t>
      </w:r>
      <w:bookmarkEnd w:id="81"/>
      <w:bookmarkEnd w:id="82"/>
    </w:p>
    <w:p>
      <w:pPr>
        <w:adjustRightInd w:val="0"/>
        <w:snapToGrid w:val="0"/>
        <w:spacing w:line="360" w:lineRule="auto"/>
        <w:ind w:firstLine="640" w:firstLineChars="200"/>
        <w:rPr>
          <w:rFonts w:hint="eastAsia" w:ascii="仿宋_GB2312" w:hAnsi="宋体" w:eastAsia="仿宋_GB2312"/>
          <w:sz w:val="32"/>
          <w:szCs w:val="32"/>
        </w:rPr>
      </w:pPr>
      <w:r>
        <w:rPr>
          <w:rFonts w:hint="eastAsia" w:ascii="楷体_GB2312" w:hAnsi="楷体_GB2312" w:eastAsia="楷体_GB2312" w:cs="楷体_GB2312"/>
          <w:sz w:val="32"/>
          <w:szCs w:val="32"/>
          <w:lang w:val="en-US" w:eastAsia="zh-CN"/>
        </w:rPr>
        <w:t xml:space="preserve"> </w:t>
      </w:r>
      <w:r>
        <w:rPr>
          <w:rFonts w:hint="eastAsia" w:ascii="仿宋_GB2312" w:hAnsi="宋体" w:eastAsia="仿宋_GB2312"/>
          <w:sz w:val="32"/>
          <w:szCs w:val="32"/>
        </w:rPr>
        <w:t>该项目依据《工程建设项目招标范围和规模标准规定》，由于项目总金额为59.67万元，并属于每年常规性投入，故由本单位内部党组会上会论证方案可行性后，直接进行合同服务采购工作。</w:t>
      </w:r>
    </w:p>
    <w:p>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本项目已于签订定合同后按合同要求由运维服务提供商统一派驻现场驻地运维人员，并按照合同规定的相关运维要求展开运维服务工作。</w:t>
      </w:r>
    </w:p>
    <w:p>
      <w:pPr>
        <w:pStyle w:val="4"/>
        <w:rPr>
          <w:rFonts w:hint="eastAsia"/>
        </w:rPr>
      </w:pPr>
      <w:bookmarkStart w:id="83" w:name="_Toc15597"/>
      <w:bookmarkStart w:id="84" w:name="_Toc10071752"/>
      <w:bookmarkStart w:id="85" w:name="_Toc27340_WPSOffice_Level3"/>
      <w:bookmarkStart w:id="86" w:name="_Toc14698"/>
      <w:r>
        <w:rPr>
          <w:rFonts w:hint="eastAsia"/>
          <w:lang w:val="en-US" w:eastAsia="zh-CN"/>
        </w:rPr>
        <w:t>1.</w:t>
      </w:r>
      <w:r>
        <w:rPr>
          <w:rFonts w:hint="eastAsia"/>
        </w:rPr>
        <w:t>项目预算情况</w:t>
      </w:r>
      <w:bookmarkEnd w:id="83"/>
      <w:bookmarkEnd w:id="84"/>
      <w:bookmarkEnd w:id="85"/>
      <w:bookmarkEnd w:id="86"/>
    </w:p>
    <w:p>
      <w:pPr>
        <w:ind w:firstLine="640" w:firstLineChars="200"/>
        <w:rPr>
          <w:rFonts w:hint="eastAsia" w:ascii="仿宋_GB2312" w:hAnsi="宋体" w:eastAsia="仿宋_GB2312" w:cs="仿宋_GB2312"/>
          <w:sz w:val="32"/>
          <w:szCs w:val="32"/>
        </w:rPr>
      </w:pPr>
      <w:r>
        <w:rPr>
          <w:rFonts w:hint="eastAsia" w:ascii="仿宋_GB2312" w:hAnsi="仿宋_GB2312" w:eastAsia="仿宋_GB2312" w:cs="仿宋_GB2312"/>
          <w:kern w:val="0"/>
          <w:sz w:val="32"/>
          <w:szCs w:val="32"/>
        </w:rPr>
        <w:t>该项目预算资金为</w:t>
      </w:r>
      <w:r>
        <w:rPr>
          <w:rFonts w:hint="eastAsia" w:ascii="仿宋_GB2312" w:hAnsi="仿宋_GB2312" w:eastAsia="仿宋_GB2312" w:cs="仿宋_GB2312"/>
          <w:sz w:val="32"/>
          <w:szCs w:val="32"/>
        </w:rPr>
        <w:t>59.67</w:t>
      </w:r>
      <w:r>
        <w:rPr>
          <w:rFonts w:hint="eastAsia" w:ascii="仿宋_GB2312" w:hAnsi="仿宋_GB2312" w:eastAsia="仿宋_GB2312" w:cs="仿宋_GB2312"/>
          <w:kern w:val="0"/>
          <w:sz w:val="32"/>
          <w:szCs w:val="32"/>
        </w:rPr>
        <w:t>万元，全部为财政拨款，资金于202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年2月份全部到位</w:t>
      </w:r>
      <w:r>
        <w:rPr>
          <w:rFonts w:hint="eastAsia" w:ascii="仿宋_GB2312" w:hAnsi="宋体" w:eastAsia="仿宋_GB2312" w:cs="仿宋_GB2312"/>
          <w:sz w:val="32"/>
          <w:szCs w:val="32"/>
        </w:rPr>
        <w:t>。</w:t>
      </w:r>
    </w:p>
    <w:p>
      <w:pPr>
        <w:pStyle w:val="4"/>
        <w:rPr>
          <w:rFonts w:hint="eastAsia"/>
        </w:rPr>
      </w:pPr>
      <w:bookmarkStart w:id="87" w:name="_Toc10071753"/>
      <w:bookmarkStart w:id="88" w:name="_Toc22934"/>
      <w:bookmarkStart w:id="89" w:name="_Toc24414_WPSOffice_Level3"/>
      <w:bookmarkStart w:id="90" w:name="_Toc3152"/>
      <w:r>
        <w:rPr>
          <w:rFonts w:hint="eastAsia"/>
          <w:lang w:val="en-US" w:eastAsia="zh-CN"/>
        </w:rPr>
        <w:t>2.</w:t>
      </w:r>
      <w:r>
        <w:rPr>
          <w:rFonts w:hint="eastAsia"/>
        </w:rPr>
        <w:t>资金支出及执行情况</w:t>
      </w:r>
      <w:bookmarkEnd w:id="87"/>
      <w:bookmarkEnd w:id="88"/>
      <w:bookmarkEnd w:id="89"/>
      <w:bookmarkEnd w:id="90"/>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该项目严格按照内控制度执行，截至202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年12月31日，该项目资金共计支出59.67万元，资金用于以下内容：</w:t>
      </w:r>
    </w:p>
    <w:tbl>
      <w:tblPr>
        <w:tblStyle w:val="18"/>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4125"/>
        <w:gridCol w:w="3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序号</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明细内容</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总费用（万元）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1</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办公楼安防监控系统、办案工作区同步录音录像系统及远程同步录音录像系统、驻看守所检察室监控系统                             </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22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76"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2</w:t>
            </w: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信息化运维维护费</w:t>
            </w:r>
          </w:p>
        </w:tc>
        <w:tc>
          <w:tcPr>
            <w:tcW w:w="3001"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 xml:space="preserve"> 37.67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1876" w:type="dxa"/>
            <w:vAlign w:val="center"/>
          </w:tcPr>
          <w:p>
            <w:pPr>
              <w:jc w:val="center"/>
              <w:rPr>
                <w:rFonts w:hint="eastAsia" w:ascii="仿宋_GB2312" w:hAnsi="宋体" w:eastAsia="仿宋_GB2312" w:cs="仿宋_GB2312"/>
                <w:sz w:val="24"/>
                <w:szCs w:val="24"/>
              </w:rPr>
            </w:pPr>
          </w:p>
        </w:tc>
        <w:tc>
          <w:tcPr>
            <w:tcW w:w="4125" w:type="dxa"/>
            <w:vAlign w:val="center"/>
          </w:tcPr>
          <w:p>
            <w:pPr>
              <w:jc w:val="center"/>
              <w:rPr>
                <w:rFonts w:hint="eastAsia" w:ascii="仿宋_GB2312" w:hAnsi="宋体" w:eastAsia="仿宋_GB2312" w:cs="仿宋_GB2312"/>
                <w:sz w:val="24"/>
                <w:szCs w:val="24"/>
              </w:rPr>
            </w:pPr>
            <w:r>
              <w:rPr>
                <w:rFonts w:hint="eastAsia" w:ascii="仿宋_GB2312" w:hAnsi="宋体" w:eastAsia="仿宋_GB2312" w:cs="仿宋_GB2312"/>
                <w:sz w:val="24"/>
                <w:szCs w:val="24"/>
              </w:rPr>
              <w:t>合计</w:t>
            </w:r>
          </w:p>
        </w:tc>
        <w:tc>
          <w:tcPr>
            <w:tcW w:w="3001" w:type="dxa"/>
            <w:vAlign w:val="center"/>
          </w:tcPr>
          <w:p>
            <w:pPr>
              <w:tabs>
                <w:tab w:val="center" w:pos="1392"/>
              </w:tabs>
              <w:rPr>
                <w:rFonts w:hint="eastAsia" w:ascii="仿宋_GB2312" w:hAnsi="宋体" w:eastAsia="仿宋_GB2312" w:cs="仿宋_GB2312"/>
                <w:sz w:val="24"/>
                <w:szCs w:val="24"/>
              </w:rPr>
            </w:pPr>
            <w:r>
              <w:rPr>
                <w:rFonts w:hint="eastAsia" w:ascii="仿宋_GB2312" w:hAnsi="宋体" w:eastAsia="仿宋_GB2312" w:cs="仿宋_GB2312"/>
                <w:sz w:val="24"/>
                <w:szCs w:val="24"/>
              </w:rPr>
              <w:t xml:space="preserve">       </w:t>
            </w:r>
            <w:r>
              <w:rPr>
                <w:rFonts w:hint="eastAsia" w:ascii="仿宋_GB2312" w:hAnsi="宋体" w:eastAsia="仿宋_GB2312" w:cs="仿宋_GB2312"/>
                <w:sz w:val="24"/>
                <w:szCs w:val="24"/>
                <w:lang w:val="en-US" w:eastAsia="zh-CN"/>
              </w:rPr>
              <w:t xml:space="preserve">  </w:t>
            </w:r>
            <w:r>
              <w:rPr>
                <w:rFonts w:hint="eastAsia" w:ascii="仿宋_GB2312" w:hAnsi="宋体" w:eastAsia="仿宋_GB2312" w:cs="仿宋_GB2312"/>
                <w:sz w:val="24"/>
                <w:szCs w:val="24"/>
              </w:rPr>
              <w:t xml:space="preserve"> 59.67</w:t>
            </w:r>
          </w:p>
        </w:tc>
      </w:tr>
    </w:tbl>
    <w:p>
      <w:pPr>
        <w:numPr>
          <w:ilvl w:val="0"/>
          <w:numId w:val="0"/>
        </w:numPr>
        <w:spacing w:line="600" w:lineRule="exact"/>
        <w:outlineLvl w:val="0"/>
        <w:rPr>
          <w:rFonts w:hint="default" w:ascii="楷体_GB2312" w:hAnsi="楷体_GB2312" w:eastAsia="楷体_GB2312" w:cs="楷体_GB2312"/>
          <w:sz w:val="32"/>
          <w:szCs w:val="32"/>
          <w:lang w:val="en-US" w:eastAsia="zh-CN"/>
        </w:rPr>
      </w:pPr>
    </w:p>
    <w:p>
      <w:pPr>
        <w:pStyle w:val="3"/>
        <w:rPr>
          <w:rFonts w:hint="eastAsia"/>
        </w:rPr>
      </w:pPr>
      <w:bookmarkStart w:id="91" w:name="_Toc13449"/>
      <w:bookmarkStart w:id="92" w:name="_Toc28533_WPSOffice_Level2"/>
      <w:r>
        <w:rPr>
          <w:rFonts w:hint="eastAsia"/>
          <w:lang w:eastAsia="zh-CN"/>
        </w:rPr>
        <w:t>（三）</w:t>
      </w:r>
      <w:r>
        <w:rPr>
          <w:rFonts w:hint="eastAsia"/>
        </w:rPr>
        <w:t>项目产出情况</w:t>
      </w:r>
      <w:bookmarkEnd w:id="91"/>
      <w:bookmarkEnd w:id="92"/>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产出数量：</w:t>
      </w:r>
      <w:r>
        <w:rPr>
          <w:rFonts w:hint="eastAsia" w:ascii="仿宋_GB2312" w:hAnsi="宋体" w:eastAsia="仿宋_GB2312" w:cs="仿宋_GB2312"/>
          <w:sz w:val="32"/>
          <w:szCs w:val="32"/>
        </w:rPr>
        <w:t>该项目在年度内完成项目内容，实施进度良好。</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lang w:eastAsia="zh-CN"/>
        </w:rPr>
        <w:t>产出质量：</w:t>
      </w:r>
      <w:r>
        <w:rPr>
          <w:rFonts w:hint="eastAsia" w:ascii="仿宋_GB2312" w:hAnsi="宋体" w:eastAsia="仿宋_GB2312" w:cs="仿宋_GB2312"/>
          <w:sz w:val="32"/>
          <w:szCs w:val="32"/>
        </w:rPr>
        <w:t>在2</w:t>
      </w:r>
      <w:r>
        <w:rPr>
          <w:rFonts w:ascii="仿宋_GB2312" w:hAnsi="宋体" w:eastAsia="仿宋_GB2312" w:cs="仿宋_GB2312"/>
          <w:sz w:val="32"/>
          <w:szCs w:val="32"/>
        </w:rPr>
        <w:t>0</w:t>
      </w:r>
      <w:r>
        <w:rPr>
          <w:rFonts w:hint="eastAsia" w:ascii="仿宋_GB2312" w:hAnsi="宋体" w:eastAsia="仿宋_GB2312" w:cs="仿宋_GB2312"/>
          <w:sz w:val="32"/>
          <w:szCs w:val="32"/>
        </w:rPr>
        <w:t>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年全年的运维服务中，按照既定运维服务指标及内容完成了全部运维工作。</w:t>
      </w:r>
    </w:p>
    <w:p>
      <w:pPr>
        <w:adjustRightInd w:val="0"/>
        <w:snapToGrid w:val="0"/>
        <w:spacing w:line="360" w:lineRule="auto"/>
        <w:ind w:firstLine="640" w:firstLineChars="200"/>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eastAsia="zh-CN"/>
        </w:rPr>
        <w:t>产出时效：资金下达均在</w:t>
      </w:r>
      <w:r>
        <w:rPr>
          <w:rFonts w:hint="eastAsia" w:ascii="仿宋_GB2312" w:hAnsi="宋体" w:eastAsia="仿宋_GB2312" w:cs="仿宋_GB2312"/>
          <w:sz w:val="32"/>
          <w:szCs w:val="32"/>
          <w:lang w:val="en-US" w:eastAsia="zh-CN"/>
        </w:rPr>
        <w:t>2022年12月底前完成拨付。</w:t>
      </w:r>
    </w:p>
    <w:p>
      <w:pPr>
        <w:pStyle w:val="3"/>
        <w:rPr>
          <w:rFonts w:hint="eastAsia"/>
        </w:rPr>
      </w:pPr>
      <w:bookmarkStart w:id="93" w:name="_Toc30712_WPSOffice_Level2"/>
      <w:bookmarkStart w:id="94" w:name="_Toc13007"/>
      <w:r>
        <w:rPr>
          <w:rFonts w:hint="eastAsia"/>
        </w:rPr>
        <w:t>（四）项目效益情况</w:t>
      </w:r>
      <w:bookmarkEnd w:id="93"/>
      <w:bookmarkEnd w:id="94"/>
    </w:p>
    <w:p>
      <w:pPr>
        <w:pStyle w:val="4"/>
        <w:rPr>
          <w:rFonts w:hint="eastAsia"/>
        </w:rPr>
      </w:pPr>
      <w:bookmarkStart w:id="95" w:name="_Toc5906_WPSOffice_Level3"/>
      <w:bookmarkStart w:id="96" w:name="_Toc1565"/>
      <w:r>
        <w:rPr>
          <w:rFonts w:hint="eastAsia"/>
          <w:lang w:eastAsia="zh-CN"/>
        </w:rPr>
        <w:t>（</w:t>
      </w:r>
      <w:r>
        <w:rPr>
          <w:rFonts w:hint="eastAsia"/>
          <w:lang w:val="en-US" w:eastAsia="zh-CN"/>
        </w:rPr>
        <w:t>1）</w:t>
      </w:r>
      <w:r>
        <w:rPr>
          <w:rFonts w:hint="eastAsia"/>
        </w:rPr>
        <w:t>项目实施对经济和社会的影响</w:t>
      </w:r>
      <w:bookmarkEnd w:id="95"/>
      <w:bookmarkEnd w:id="96"/>
    </w:p>
    <w:p>
      <w:pPr>
        <w:adjustRightInd w:val="0"/>
        <w:snapToGrid w:val="0"/>
        <w:spacing w:line="360" w:lineRule="auto"/>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该项目的实施，保障了昌平检察院内部系统的正常运行，减少了软硬件问题的出现，提高了单位人员的工作效率。为整个服务体系配备充足的资源，并预留必要的储备。在此基础上，对重点服务对象和重点服务内容，坚持特事特办、快速保障。</w:t>
      </w:r>
    </w:p>
    <w:p>
      <w:pPr>
        <w:adjustRightInd w:val="0"/>
        <w:snapToGrid w:val="0"/>
        <w:spacing w:line="360" w:lineRule="auto"/>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该项目以全局性需要为服务保障的重点，以应用技能为培训安排的重点，以预防措施为安全管理的重点，以信息资源为数据保护的重点，以稳定运行为系统维护的重点，投入充分有效的人、财、物资源，高标准、严要求，有针对性地保证服务能力、服务效率和服务质量。</w:t>
      </w:r>
    </w:p>
    <w:p>
      <w:pPr>
        <w:pStyle w:val="4"/>
        <w:rPr>
          <w:rFonts w:hint="eastAsia"/>
        </w:rPr>
      </w:pPr>
      <w:bookmarkStart w:id="97" w:name="_Toc1064_WPSOffice_Level3"/>
      <w:bookmarkStart w:id="98" w:name="_Toc18691"/>
      <w:r>
        <w:rPr>
          <w:rFonts w:hint="eastAsia"/>
          <w:lang w:eastAsia="zh-CN"/>
        </w:rPr>
        <w:t>（</w:t>
      </w:r>
      <w:r>
        <w:rPr>
          <w:rFonts w:hint="eastAsia"/>
          <w:lang w:val="en-US" w:eastAsia="zh-CN"/>
        </w:rPr>
        <w:t>2</w:t>
      </w:r>
      <w:r>
        <w:rPr>
          <w:rFonts w:hint="eastAsia"/>
          <w:lang w:eastAsia="zh-CN"/>
        </w:rPr>
        <w:t>）</w:t>
      </w:r>
      <w:r>
        <w:rPr>
          <w:rFonts w:hint="eastAsia"/>
        </w:rPr>
        <w:t>项目可持续影响</w:t>
      </w:r>
      <w:bookmarkEnd w:id="97"/>
      <w:bookmarkEnd w:id="98"/>
    </w:p>
    <w:p>
      <w:pPr>
        <w:adjustRightInd w:val="0"/>
        <w:snapToGrid w:val="0"/>
        <w:spacing w:line="360" w:lineRule="auto"/>
        <w:ind w:firstLine="640" w:firstLineChars="200"/>
        <w:rPr>
          <w:rFonts w:hint="eastAsia" w:ascii="楷体_GB2312" w:hAnsi="楷体_GB2312" w:eastAsia="楷体_GB2312" w:cs="楷体_GB2312"/>
          <w:sz w:val="32"/>
          <w:szCs w:val="32"/>
        </w:rPr>
      </w:pPr>
      <w:r>
        <w:rPr>
          <w:rFonts w:hint="eastAsia" w:ascii="仿宋_GB2312" w:hAnsi="宋体" w:eastAsia="仿宋_GB2312" w:cs="仿宋_GB2312"/>
          <w:sz w:val="32"/>
          <w:szCs w:val="32"/>
        </w:rPr>
        <w:t>随着检察信息化和办公自动化进一步发展，检察办公、办案业务对信息技术的依赖不断增大，信息化设备不断投入，组织的硬件设施、软件系统规模不断增加，信息化运维复杂性不断增强，重要性不断提高，使信息化的运维工作成为可持续的一项工作。</w:t>
      </w:r>
    </w:p>
    <w:p>
      <w:pPr>
        <w:pStyle w:val="2"/>
        <w:rPr>
          <w:rFonts w:hint="eastAsia"/>
          <w:lang w:eastAsia="zh-CN"/>
        </w:rPr>
      </w:pPr>
      <w:bookmarkStart w:id="99" w:name="_Toc5906_WPSOffice_Level1"/>
      <w:bookmarkStart w:id="100" w:name="_Toc5201"/>
      <w:r>
        <w:rPr>
          <w:rFonts w:hint="eastAsia"/>
          <w:lang w:eastAsia="zh-CN"/>
        </w:rPr>
        <w:t>五、主要经验及做法、存在的问题及原因分析</w:t>
      </w:r>
      <w:bookmarkEnd w:id="99"/>
      <w:bookmarkEnd w:id="100"/>
    </w:p>
    <w:p>
      <w:pPr>
        <w:pStyle w:val="3"/>
        <w:rPr>
          <w:rFonts w:hint="eastAsia"/>
        </w:rPr>
      </w:pPr>
      <w:bookmarkStart w:id="101" w:name="_Toc5933_WPSOffice_Level2"/>
      <w:bookmarkStart w:id="102" w:name="_Toc22295"/>
      <w:r>
        <w:rPr>
          <w:rFonts w:hint="eastAsia"/>
          <w:lang w:eastAsia="zh-CN"/>
        </w:rPr>
        <w:t>（一）</w:t>
      </w:r>
      <w:r>
        <w:rPr>
          <w:rFonts w:hint="eastAsia"/>
        </w:rPr>
        <w:t>主要经验及做法</w:t>
      </w:r>
      <w:bookmarkEnd w:id="101"/>
      <w:bookmarkEnd w:id="102"/>
    </w:p>
    <w:p>
      <w:pPr>
        <w:adjustRightInd w:val="0"/>
        <w:snapToGrid w:val="0"/>
        <w:spacing w:line="360" w:lineRule="auto"/>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1.通过开展预算绩效管理工作，优化支出结构，提高管理水平，确保各项工作的落实；促进了更好的履行职责，不断提高财政资金使用效益。</w:t>
      </w:r>
    </w:p>
    <w:p>
      <w:pPr>
        <w:adjustRightInd w:val="0"/>
        <w:snapToGrid w:val="0"/>
        <w:spacing w:line="360" w:lineRule="auto"/>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积极开展支出管理绩效评价，不断完善单位的内部管理，强化资金支出管理使用，对绩效目标管理精细化、规范化，通过对项目资金进行全过程资金管理，结合预算绩效考核，对项目进行督导和跟踪问效，最大限度发挥了项目资金效益。</w:t>
      </w:r>
    </w:p>
    <w:p>
      <w:pPr>
        <w:pStyle w:val="3"/>
        <w:rPr>
          <w:rFonts w:hint="eastAsia"/>
        </w:rPr>
      </w:pPr>
      <w:bookmarkStart w:id="103" w:name="_Toc27970_WPSOffice_Level2"/>
      <w:bookmarkStart w:id="104" w:name="_Toc16040"/>
      <w:r>
        <w:rPr>
          <w:rFonts w:hint="eastAsia"/>
          <w:lang w:eastAsia="zh-CN"/>
        </w:rPr>
        <w:t>（二）存在的问题及原因分析</w:t>
      </w:r>
      <w:bookmarkEnd w:id="103"/>
      <w:bookmarkEnd w:id="104"/>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1.绩效管理理念有待进一步增强。对绩效管理的认识不够，还停留在是否按计划完成任务的层面上，主动性、参与绩效评价的积极性需进一步提高。　　</w:t>
      </w:r>
    </w:p>
    <w:p>
      <w:pPr>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2.绩效管理工作质量尚需提高。绩效目标编制质量仍处于初步水平，存在编制内容不完整，绩效目标不清晰等问题。　　</w:t>
      </w:r>
    </w:p>
    <w:p>
      <w:pPr>
        <w:rPr>
          <w:rFonts w:hint="default"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3.绩效评价结果应用程度不够。绩效管理工作应全面贯穿于预算编制、执行和监督各个环节，但在实际工作中没有很好地把绩效评价结果与支出管理实际有效结合，影响了工作推进和管理实效的发挥。</w:t>
      </w:r>
    </w:p>
    <w:p>
      <w:pPr>
        <w:pStyle w:val="2"/>
        <w:rPr>
          <w:rFonts w:hint="eastAsia"/>
          <w:lang w:eastAsia="zh-CN"/>
        </w:rPr>
      </w:pPr>
      <w:bookmarkStart w:id="105" w:name="_Toc1064_WPSOffice_Level1"/>
      <w:bookmarkStart w:id="106" w:name="_Toc24185"/>
      <w:r>
        <w:rPr>
          <w:rFonts w:hint="eastAsia"/>
          <w:lang w:eastAsia="zh-CN"/>
        </w:rPr>
        <w:t>六、有关建议</w:t>
      </w:r>
      <w:bookmarkEnd w:id="105"/>
      <w:bookmarkEnd w:id="106"/>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1.加强对科室预算绩效管理工作的业务培训，提高各业务科室参与预算绩效评价的主动性、积极性，提升预算绩效管理工作水平。</w:t>
      </w:r>
    </w:p>
    <w:p>
      <w:pPr>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　　2.逐步提高绩效目标编制质量，进一步做到绩效目标编制的科学化、精细化。</w:t>
      </w:r>
    </w:p>
    <w:p>
      <w:pPr>
        <w:rPr>
          <w:rFonts w:hint="eastAsia" w:ascii="黑体" w:hAnsi="黑体" w:eastAsia="黑体" w:cs="黑体"/>
          <w:sz w:val="32"/>
          <w:szCs w:val="32"/>
        </w:rPr>
      </w:pPr>
      <w:r>
        <w:rPr>
          <w:rFonts w:hint="eastAsia" w:ascii="仿宋_GB2312" w:hAnsi="宋体" w:eastAsia="仿宋_GB2312" w:cs="仿宋_GB2312"/>
          <w:sz w:val="32"/>
          <w:szCs w:val="32"/>
          <w:lang w:val="en-US" w:eastAsia="zh-CN"/>
        </w:rPr>
        <w:t>　　3.加强绩效评价结果的应用，把绩效评价结果应用于预算资金安排、完善制度建设、优化内部管理流程，进一步改进预算资金执行管理及绩效评价管理工作，全面提升预算资金使用效率和效益。　　</w:t>
      </w:r>
    </w:p>
    <w:p>
      <w:pPr>
        <w:pStyle w:val="2"/>
        <w:rPr>
          <w:rFonts w:hint="eastAsia"/>
          <w:lang w:eastAsia="zh-CN"/>
        </w:rPr>
      </w:pPr>
      <w:bookmarkStart w:id="107" w:name="_Toc17155_WPSOffice_Level1"/>
      <w:bookmarkStart w:id="108" w:name="_Toc2281"/>
      <w:r>
        <w:rPr>
          <w:rFonts w:hint="eastAsia"/>
          <w:lang w:eastAsia="zh-CN"/>
        </w:rPr>
        <w:t>七、其他需要说明的问题</w:t>
      </w:r>
      <w:bookmarkEnd w:id="107"/>
      <w:bookmarkEnd w:id="108"/>
    </w:p>
    <w:p>
      <w:pPr>
        <w:ind w:firstLine="640" w:firstLineChars="20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无其他需要说明的问题。</w:t>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393"/>
        <w:tab w:val="right" w:pos="8786"/>
      </w:tabs>
      <w:jc w:val="both"/>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90A1E"/>
    <w:rsid w:val="00964BCD"/>
    <w:rsid w:val="01076C7E"/>
    <w:rsid w:val="010D0532"/>
    <w:rsid w:val="013F49F6"/>
    <w:rsid w:val="01592344"/>
    <w:rsid w:val="018C5C23"/>
    <w:rsid w:val="023B535C"/>
    <w:rsid w:val="02445450"/>
    <w:rsid w:val="02544C13"/>
    <w:rsid w:val="02AF70EC"/>
    <w:rsid w:val="02B5737D"/>
    <w:rsid w:val="02DE7C2E"/>
    <w:rsid w:val="03252DD2"/>
    <w:rsid w:val="03454E8F"/>
    <w:rsid w:val="0396212D"/>
    <w:rsid w:val="03C46B4C"/>
    <w:rsid w:val="044B2122"/>
    <w:rsid w:val="046E6D9F"/>
    <w:rsid w:val="05507EBF"/>
    <w:rsid w:val="05E941EE"/>
    <w:rsid w:val="063C4933"/>
    <w:rsid w:val="06491E96"/>
    <w:rsid w:val="06656E80"/>
    <w:rsid w:val="06886AB9"/>
    <w:rsid w:val="068E74C4"/>
    <w:rsid w:val="06946F6E"/>
    <w:rsid w:val="06F757A7"/>
    <w:rsid w:val="075B46FA"/>
    <w:rsid w:val="0794353A"/>
    <w:rsid w:val="079E6905"/>
    <w:rsid w:val="07B10DAE"/>
    <w:rsid w:val="07C81B96"/>
    <w:rsid w:val="08285965"/>
    <w:rsid w:val="086741C9"/>
    <w:rsid w:val="088717B8"/>
    <w:rsid w:val="08A96264"/>
    <w:rsid w:val="08DE0E27"/>
    <w:rsid w:val="09684E76"/>
    <w:rsid w:val="09771BED"/>
    <w:rsid w:val="09AD5C12"/>
    <w:rsid w:val="09D752E9"/>
    <w:rsid w:val="09E2637B"/>
    <w:rsid w:val="09E723C2"/>
    <w:rsid w:val="0A0E2053"/>
    <w:rsid w:val="0AF522CF"/>
    <w:rsid w:val="0AF60032"/>
    <w:rsid w:val="0B232394"/>
    <w:rsid w:val="0B3C3CFD"/>
    <w:rsid w:val="0B5E5214"/>
    <w:rsid w:val="0B5E5FB6"/>
    <w:rsid w:val="0B8627DB"/>
    <w:rsid w:val="0B9658BB"/>
    <w:rsid w:val="0BBD1DCE"/>
    <w:rsid w:val="0C1B1CB0"/>
    <w:rsid w:val="0C2A3A41"/>
    <w:rsid w:val="0C2F3AC1"/>
    <w:rsid w:val="0C5D1702"/>
    <w:rsid w:val="0C825F24"/>
    <w:rsid w:val="0CB30595"/>
    <w:rsid w:val="0CC27105"/>
    <w:rsid w:val="0CD72614"/>
    <w:rsid w:val="0CF95F8B"/>
    <w:rsid w:val="0CFA01FA"/>
    <w:rsid w:val="0D4D2F2B"/>
    <w:rsid w:val="0DB12742"/>
    <w:rsid w:val="0DBF5125"/>
    <w:rsid w:val="0DC625DB"/>
    <w:rsid w:val="0E5B1B5A"/>
    <w:rsid w:val="0E844600"/>
    <w:rsid w:val="0EA050C2"/>
    <w:rsid w:val="0F1113F9"/>
    <w:rsid w:val="0F3E7DC2"/>
    <w:rsid w:val="0F43266A"/>
    <w:rsid w:val="0F5F29CC"/>
    <w:rsid w:val="0FB62B03"/>
    <w:rsid w:val="0FC1057C"/>
    <w:rsid w:val="0FD63608"/>
    <w:rsid w:val="0FDA152A"/>
    <w:rsid w:val="105C3F65"/>
    <w:rsid w:val="10633855"/>
    <w:rsid w:val="10714F63"/>
    <w:rsid w:val="10946FF4"/>
    <w:rsid w:val="11092D00"/>
    <w:rsid w:val="115F3086"/>
    <w:rsid w:val="116C57E4"/>
    <w:rsid w:val="117D6856"/>
    <w:rsid w:val="11997766"/>
    <w:rsid w:val="11D44047"/>
    <w:rsid w:val="11FC4AFA"/>
    <w:rsid w:val="120455B0"/>
    <w:rsid w:val="121B3175"/>
    <w:rsid w:val="128D4594"/>
    <w:rsid w:val="12A91B63"/>
    <w:rsid w:val="12BC17B9"/>
    <w:rsid w:val="12CC7712"/>
    <w:rsid w:val="13015361"/>
    <w:rsid w:val="133A4C17"/>
    <w:rsid w:val="13C92977"/>
    <w:rsid w:val="13CC2A65"/>
    <w:rsid w:val="13FE03FD"/>
    <w:rsid w:val="1442405E"/>
    <w:rsid w:val="145F5828"/>
    <w:rsid w:val="149149D9"/>
    <w:rsid w:val="14974C0C"/>
    <w:rsid w:val="149B33AF"/>
    <w:rsid w:val="14B06464"/>
    <w:rsid w:val="14B72012"/>
    <w:rsid w:val="14C768C3"/>
    <w:rsid w:val="14DA45B0"/>
    <w:rsid w:val="14E53320"/>
    <w:rsid w:val="154B2A30"/>
    <w:rsid w:val="15534309"/>
    <w:rsid w:val="15572AB0"/>
    <w:rsid w:val="1574756F"/>
    <w:rsid w:val="15B663CA"/>
    <w:rsid w:val="15DA3107"/>
    <w:rsid w:val="16156F7A"/>
    <w:rsid w:val="16523508"/>
    <w:rsid w:val="16CF5FB4"/>
    <w:rsid w:val="174B4978"/>
    <w:rsid w:val="177A6B27"/>
    <w:rsid w:val="17873BE6"/>
    <w:rsid w:val="178B4860"/>
    <w:rsid w:val="18476EAC"/>
    <w:rsid w:val="18790B7D"/>
    <w:rsid w:val="191A7247"/>
    <w:rsid w:val="194616B0"/>
    <w:rsid w:val="195935BC"/>
    <w:rsid w:val="195A06A3"/>
    <w:rsid w:val="19705A6C"/>
    <w:rsid w:val="19A45B97"/>
    <w:rsid w:val="19F62771"/>
    <w:rsid w:val="1A011C7B"/>
    <w:rsid w:val="1A5B7FF3"/>
    <w:rsid w:val="1A6F4EAE"/>
    <w:rsid w:val="1B267F4E"/>
    <w:rsid w:val="1B6D6B86"/>
    <w:rsid w:val="1B857174"/>
    <w:rsid w:val="1B8C13C6"/>
    <w:rsid w:val="1B991414"/>
    <w:rsid w:val="1BA64E34"/>
    <w:rsid w:val="1BCA3960"/>
    <w:rsid w:val="1BEE4F92"/>
    <w:rsid w:val="1BFC5776"/>
    <w:rsid w:val="1C097B7C"/>
    <w:rsid w:val="1C156280"/>
    <w:rsid w:val="1C344ACD"/>
    <w:rsid w:val="1C561959"/>
    <w:rsid w:val="1D3A75B0"/>
    <w:rsid w:val="1DA47876"/>
    <w:rsid w:val="1DA95815"/>
    <w:rsid w:val="1DD20D94"/>
    <w:rsid w:val="1E013CBE"/>
    <w:rsid w:val="1E622F8D"/>
    <w:rsid w:val="1E721726"/>
    <w:rsid w:val="1E8918BB"/>
    <w:rsid w:val="1E921596"/>
    <w:rsid w:val="1EDD6956"/>
    <w:rsid w:val="1F247CE1"/>
    <w:rsid w:val="1F285B5F"/>
    <w:rsid w:val="1F540248"/>
    <w:rsid w:val="1FC95B82"/>
    <w:rsid w:val="1FF23568"/>
    <w:rsid w:val="204662A0"/>
    <w:rsid w:val="20611C48"/>
    <w:rsid w:val="209A6981"/>
    <w:rsid w:val="209A75E4"/>
    <w:rsid w:val="213E044B"/>
    <w:rsid w:val="217C2E57"/>
    <w:rsid w:val="21C850FC"/>
    <w:rsid w:val="221B065C"/>
    <w:rsid w:val="222A3E0D"/>
    <w:rsid w:val="22390B59"/>
    <w:rsid w:val="224F47F6"/>
    <w:rsid w:val="229C21C4"/>
    <w:rsid w:val="22A13275"/>
    <w:rsid w:val="22B95923"/>
    <w:rsid w:val="22EB6DAC"/>
    <w:rsid w:val="2314601D"/>
    <w:rsid w:val="23173033"/>
    <w:rsid w:val="23496CC0"/>
    <w:rsid w:val="235A6DD0"/>
    <w:rsid w:val="23843012"/>
    <w:rsid w:val="23C6314A"/>
    <w:rsid w:val="23C85457"/>
    <w:rsid w:val="24031098"/>
    <w:rsid w:val="240E1184"/>
    <w:rsid w:val="24920ACA"/>
    <w:rsid w:val="24C93796"/>
    <w:rsid w:val="25150F8F"/>
    <w:rsid w:val="258347B2"/>
    <w:rsid w:val="259204FC"/>
    <w:rsid w:val="25E27EB5"/>
    <w:rsid w:val="261A7605"/>
    <w:rsid w:val="26434828"/>
    <w:rsid w:val="266E39F7"/>
    <w:rsid w:val="26BE450F"/>
    <w:rsid w:val="270F17CE"/>
    <w:rsid w:val="2732109F"/>
    <w:rsid w:val="275C40EB"/>
    <w:rsid w:val="27A92FB2"/>
    <w:rsid w:val="27CB37EB"/>
    <w:rsid w:val="27CC7C29"/>
    <w:rsid w:val="28357063"/>
    <w:rsid w:val="283B210F"/>
    <w:rsid w:val="28543788"/>
    <w:rsid w:val="285A60E5"/>
    <w:rsid w:val="28F66E69"/>
    <w:rsid w:val="29C1540F"/>
    <w:rsid w:val="29CC3DB3"/>
    <w:rsid w:val="2A340121"/>
    <w:rsid w:val="2A3C5BD5"/>
    <w:rsid w:val="2A4952AD"/>
    <w:rsid w:val="2A7E3998"/>
    <w:rsid w:val="2A86287B"/>
    <w:rsid w:val="2AA6298F"/>
    <w:rsid w:val="2AD149BC"/>
    <w:rsid w:val="2B466801"/>
    <w:rsid w:val="2BDB02AB"/>
    <w:rsid w:val="2C0E39BE"/>
    <w:rsid w:val="2C7305C5"/>
    <w:rsid w:val="2CB8094A"/>
    <w:rsid w:val="2CCC3C25"/>
    <w:rsid w:val="2CE9723A"/>
    <w:rsid w:val="2D10368C"/>
    <w:rsid w:val="2D1946EA"/>
    <w:rsid w:val="2D296C58"/>
    <w:rsid w:val="2D950163"/>
    <w:rsid w:val="2D995C48"/>
    <w:rsid w:val="2DA95545"/>
    <w:rsid w:val="2DB10162"/>
    <w:rsid w:val="2DE92854"/>
    <w:rsid w:val="2E475C6E"/>
    <w:rsid w:val="2E595E07"/>
    <w:rsid w:val="2ED50308"/>
    <w:rsid w:val="2EE21D1D"/>
    <w:rsid w:val="2F3A4600"/>
    <w:rsid w:val="2F8D1ED7"/>
    <w:rsid w:val="2F9175FE"/>
    <w:rsid w:val="2FEB49F9"/>
    <w:rsid w:val="3037062B"/>
    <w:rsid w:val="308B2ED7"/>
    <w:rsid w:val="30B23699"/>
    <w:rsid w:val="30B52A15"/>
    <w:rsid w:val="30DC4BE2"/>
    <w:rsid w:val="31284F10"/>
    <w:rsid w:val="313B102D"/>
    <w:rsid w:val="31531A53"/>
    <w:rsid w:val="31BD0F9A"/>
    <w:rsid w:val="31D765A6"/>
    <w:rsid w:val="31E202EC"/>
    <w:rsid w:val="32162718"/>
    <w:rsid w:val="32344C85"/>
    <w:rsid w:val="325511B0"/>
    <w:rsid w:val="327B34B2"/>
    <w:rsid w:val="32B70993"/>
    <w:rsid w:val="32C50700"/>
    <w:rsid w:val="337A3FD4"/>
    <w:rsid w:val="339110DD"/>
    <w:rsid w:val="33A93F1B"/>
    <w:rsid w:val="33BA2C34"/>
    <w:rsid w:val="33C51515"/>
    <w:rsid w:val="33F031F0"/>
    <w:rsid w:val="33FB1078"/>
    <w:rsid w:val="345B0427"/>
    <w:rsid w:val="34650796"/>
    <w:rsid w:val="34930F74"/>
    <w:rsid w:val="34F33BC9"/>
    <w:rsid w:val="35542BE7"/>
    <w:rsid w:val="35F80E8E"/>
    <w:rsid w:val="363E248A"/>
    <w:rsid w:val="37505058"/>
    <w:rsid w:val="377265C5"/>
    <w:rsid w:val="37A3327E"/>
    <w:rsid w:val="37F14C43"/>
    <w:rsid w:val="37FC4CB0"/>
    <w:rsid w:val="386D72AA"/>
    <w:rsid w:val="39085B71"/>
    <w:rsid w:val="39472AB9"/>
    <w:rsid w:val="397F7B0D"/>
    <w:rsid w:val="39EF058A"/>
    <w:rsid w:val="3A19138A"/>
    <w:rsid w:val="3A3820B5"/>
    <w:rsid w:val="3A3C6842"/>
    <w:rsid w:val="3A4F2AC7"/>
    <w:rsid w:val="3A6C4429"/>
    <w:rsid w:val="3A9127D4"/>
    <w:rsid w:val="3B242E08"/>
    <w:rsid w:val="3B35228C"/>
    <w:rsid w:val="3B427E9A"/>
    <w:rsid w:val="3BB16E0E"/>
    <w:rsid w:val="3BCD0CCE"/>
    <w:rsid w:val="3BDE6E37"/>
    <w:rsid w:val="3C493211"/>
    <w:rsid w:val="3C5A3CBB"/>
    <w:rsid w:val="3C7B69D5"/>
    <w:rsid w:val="3CB1280D"/>
    <w:rsid w:val="3CB5169A"/>
    <w:rsid w:val="3CDD1870"/>
    <w:rsid w:val="3CF55121"/>
    <w:rsid w:val="3DEB6118"/>
    <w:rsid w:val="3E1820D0"/>
    <w:rsid w:val="3E4071B6"/>
    <w:rsid w:val="3E6F5F78"/>
    <w:rsid w:val="3E8007A4"/>
    <w:rsid w:val="3E9F2C9B"/>
    <w:rsid w:val="3EC22DFA"/>
    <w:rsid w:val="3EF5188B"/>
    <w:rsid w:val="3F144380"/>
    <w:rsid w:val="3F2E0B90"/>
    <w:rsid w:val="3F485DEB"/>
    <w:rsid w:val="3F7A1ADE"/>
    <w:rsid w:val="3FFC5A7A"/>
    <w:rsid w:val="402E0572"/>
    <w:rsid w:val="40B25CE4"/>
    <w:rsid w:val="41066815"/>
    <w:rsid w:val="410C2805"/>
    <w:rsid w:val="41566048"/>
    <w:rsid w:val="41A2015C"/>
    <w:rsid w:val="41EC783B"/>
    <w:rsid w:val="421A773A"/>
    <w:rsid w:val="42605B76"/>
    <w:rsid w:val="429D128E"/>
    <w:rsid w:val="42CD2799"/>
    <w:rsid w:val="43636CE0"/>
    <w:rsid w:val="439564AF"/>
    <w:rsid w:val="44377DF2"/>
    <w:rsid w:val="44605393"/>
    <w:rsid w:val="44816F0F"/>
    <w:rsid w:val="44D56B5E"/>
    <w:rsid w:val="44E00593"/>
    <w:rsid w:val="44E16E20"/>
    <w:rsid w:val="45790ADD"/>
    <w:rsid w:val="4590466A"/>
    <w:rsid w:val="45CD2D11"/>
    <w:rsid w:val="45D26185"/>
    <w:rsid w:val="46111A34"/>
    <w:rsid w:val="461D2D74"/>
    <w:rsid w:val="461E5734"/>
    <w:rsid w:val="462F7C2D"/>
    <w:rsid w:val="46352EC0"/>
    <w:rsid w:val="464705B3"/>
    <w:rsid w:val="466B18F1"/>
    <w:rsid w:val="468342FD"/>
    <w:rsid w:val="46B16EB8"/>
    <w:rsid w:val="46DA2BDC"/>
    <w:rsid w:val="47396B7B"/>
    <w:rsid w:val="476D3D91"/>
    <w:rsid w:val="47756B07"/>
    <w:rsid w:val="478C0F13"/>
    <w:rsid w:val="47F0790F"/>
    <w:rsid w:val="485126CF"/>
    <w:rsid w:val="48A079AF"/>
    <w:rsid w:val="48BC37F0"/>
    <w:rsid w:val="48D859BE"/>
    <w:rsid w:val="49374DC2"/>
    <w:rsid w:val="495E61E7"/>
    <w:rsid w:val="499050D3"/>
    <w:rsid w:val="49EB4AEC"/>
    <w:rsid w:val="4A5F138A"/>
    <w:rsid w:val="4B2F45AF"/>
    <w:rsid w:val="4BCA5239"/>
    <w:rsid w:val="4BE805B5"/>
    <w:rsid w:val="4C205299"/>
    <w:rsid w:val="4C3B1531"/>
    <w:rsid w:val="4C4E3647"/>
    <w:rsid w:val="4CB04D10"/>
    <w:rsid w:val="4CBD4F5B"/>
    <w:rsid w:val="4CEB64ED"/>
    <w:rsid w:val="4CF51184"/>
    <w:rsid w:val="4CF7064C"/>
    <w:rsid w:val="4E134BE9"/>
    <w:rsid w:val="4E1A7546"/>
    <w:rsid w:val="4E237181"/>
    <w:rsid w:val="4E467B11"/>
    <w:rsid w:val="4E7F4EE8"/>
    <w:rsid w:val="4E893AE5"/>
    <w:rsid w:val="4E8F27BD"/>
    <w:rsid w:val="4F1D69FE"/>
    <w:rsid w:val="4F242481"/>
    <w:rsid w:val="4F3B4120"/>
    <w:rsid w:val="4FCA56E9"/>
    <w:rsid w:val="4FD36564"/>
    <w:rsid w:val="4FE276A6"/>
    <w:rsid w:val="508D7D98"/>
    <w:rsid w:val="50DD036F"/>
    <w:rsid w:val="50E018E9"/>
    <w:rsid w:val="51024088"/>
    <w:rsid w:val="5105050D"/>
    <w:rsid w:val="51427C16"/>
    <w:rsid w:val="51923237"/>
    <w:rsid w:val="519663EC"/>
    <w:rsid w:val="51BC7765"/>
    <w:rsid w:val="51DD73F4"/>
    <w:rsid w:val="52274670"/>
    <w:rsid w:val="526817C6"/>
    <w:rsid w:val="52942B94"/>
    <w:rsid w:val="52CE1F20"/>
    <w:rsid w:val="531124EB"/>
    <w:rsid w:val="533E7850"/>
    <w:rsid w:val="537B596F"/>
    <w:rsid w:val="53B674A4"/>
    <w:rsid w:val="53BD0CA8"/>
    <w:rsid w:val="54014BEC"/>
    <w:rsid w:val="54360452"/>
    <w:rsid w:val="545265FC"/>
    <w:rsid w:val="54CA6D09"/>
    <w:rsid w:val="553161C6"/>
    <w:rsid w:val="55862904"/>
    <w:rsid w:val="558D360D"/>
    <w:rsid w:val="559217AB"/>
    <w:rsid w:val="55AF074A"/>
    <w:rsid w:val="55D76B3B"/>
    <w:rsid w:val="55EB59B4"/>
    <w:rsid w:val="55F4577B"/>
    <w:rsid w:val="55FB2BF9"/>
    <w:rsid w:val="55FF5A0E"/>
    <w:rsid w:val="56293FEC"/>
    <w:rsid w:val="5662415A"/>
    <w:rsid w:val="56750CB6"/>
    <w:rsid w:val="56942730"/>
    <w:rsid w:val="56D17BB3"/>
    <w:rsid w:val="56EB578D"/>
    <w:rsid w:val="57A50EA9"/>
    <w:rsid w:val="57C07197"/>
    <w:rsid w:val="57D2687C"/>
    <w:rsid w:val="57DA5DEF"/>
    <w:rsid w:val="57F56B30"/>
    <w:rsid w:val="581034FB"/>
    <w:rsid w:val="582372D8"/>
    <w:rsid w:val="582C21E6"/>
    <w:rsid w:val="585455E8"/>
    <w:rsid w:val="585502FD"/>
    <w:rsid w:val="5863459C"/>
    <w:rsid w:val="58DD2BB5"/>
    <w:rsid w:val="594A6A30"/>
    <w:rsid w:val="59CD4C9F"/>
    <w:rsid w:val="5A095CE0"/>
    <w:rsid w:val="5A157917"/>
    <w:rsid w:val="5A3C72E7"/>
    <w:rsid w:val="5A496D01"/>
    <w:rsid w:val="5A4A7187"/>
    <w:rsid w:val="5AAD0523"/>
    <w:rsid w:val="5AD82008"/>
    <w:rsid w:val="5AE547EC"/>
    <w:rsid w:val="5B624550"/>
    <w:rsid w:val="5B6C41FC"/>
    <w:rsid w:val="5BA70917"/>
    <w:rsid w:val="5BD83532"/>
    <w:rsid w:val="5BDA4DCF"/>
    <w:rsid w:val="5C412E43"/>
    <w:rsid w:val="5C595B87"/>
    <w:rsid w:val="5C9C7279"/>
    <w:rsid w:val="5CEB32E6"/>
    <w:rsid w:val="5D205BDA"/>
    <w:rsid w:val="5D405455"/>
    <w:rsid w:val="5D642EE3"/>
    <w:rsid w:val="5DB7611B"/>
    <w:rsid w:val="5DF626D0"/>
    <w:rsid w:val="5E786573"/>
    <w:rsid w:val="5EE9256A"/>
    <w:rsid w:val="5EEC3E18"/>
    <w:rsid w:val="5F061AF1"/>
    <w:rsid w:val="5F0C35D5"/>
    <w:rsid w:val="5FD86102"/>
    <w:rsid w:val="5FEC2205"/>
    <w:rsid w:val="604C2FE4"/>
    <w:rsid w:val="60D15EB3"/>
    <w:rsid w:val="611A0DE5"/>
    <w:rsid w:val="61564B89"/>
    <w:rsid w:val="615C3F2D"/>
    <w:rsid w:val="61994A29"/>
    <w:rsid w:val="62140238"/>
    <w:rsid w:val="62AE1D75"/>
    <w:rsid w:val="62EF5739"/>
    <w:rsid w:val="632F0341"/>
    <w:rsid w:val="637469C7"/>
    <w:rsid w:val="63F11A93"/>
    <w:rsid w:val="649708E9"/>
    <w:rsid w:val="64A16256"/>
    <w:rsid w:val="64FE2A8B"/>
    <w:rsid w:val="65686974"/>
    <w:rsid w:val="65886C53"/>
    <w:rsid w:val="659B0E20"/>
    <w:rsid w:val="65B13297"/>
    <w:rsid w:val="663904A4"/>
    <w:rsid w:val="66543A72"/>
    <w:rsid w:val="665C7A4E"/>
    <w:rsid w:val="6669296F"/>
    <w:rsid w:val="669C1630"/>
    <w:rsid w:val="66BE0701"/>
    <w:rsid w:val="67234F7A"/>
    <w:rsid w:val="67EE1411"/>
    <w:rsid w:val="68023F0A"/>
    <w:rsid w:val="683158FE"/>
    <w:rsid w:val="68454A0B"/>
    <w:rsid w:val="687540C2"/>
    <w:rsid w:val="68817D53"/>
    <w:rsid w:val="688505EC"/>
    <w:rsid w:val="68A53152"/>
    <w:rsid w:val="68FD694D"/>
    <w:rsid w:val="69011FB4"/>
    <w:rsid w:val="698369F5"/>
    <w:rsid w:val="69FA184C"/>
    <w:rsid w:val="6A76104C"/>
    <w:rsid w:val="6A9712E6"/>
    <w:rsid w:val="6A9736D4"/>
    <w:rsid w:val="6AA100AA"/>
    <w:rsid w:val="6AA35956"/>
    <w:rsid w:val="6AC914AE"/>
    <w:rsid w:val="6AE81E04"/>
    <w:rsid w:val="6AFE4E49"/>
    <w:rsid w:val="6B01176C"/>
    <w:rsid w:val="6B5A6EFB"/>
    <w:rsid w:val="6B755293"/>
    <w:rsid w:val="6BBD5DB7"/>
    <w:rsid w:val="6BBF08DF"/>
    <w:rsid w:val="6BF25F9D"/>
    <w:rsid w:val="6C667B30"/>
    <w:rsid w:val="6C7479C7"/>
    <w:rsid w:val="6CBB1610"/>
    <w:rsid w:val="6D2D31C4"/>
    <w:rsid w:val="6D5F581A"/>
    <w:rsid w:val="6D8251AB"/>
    <w:rsid w:val="6D8E06E4"/>
    <w:rsid w:val="6D9F3954"/>
    <w:rsid w:val="6DB52B59"/>
    <w:rsid w:val="6DC95304"/>
    <w:rsid w:val="6DE21D7E"/>
    <w:rsid w:val="6E127131"/>
    <w:rsid w:val="6E135667"/>
    <w:rsid w:val="6E2450E3"/>
    <w:rsid w:val="6E722C45"/>
    <w:rsid w:val="6EEB5A39"/>
    <w:rsid w:val="6EED25A8"/>
    <w:rsid w:val="6F137737"/>
    <w:rsid w:val="6FB82051"/>
    <w:rsid w:val="6FBC6525"/>
    <w:rsid w:val="6FD115A5"/>
    <w:rsid w:val="702A570A"/>
    <w:rsid w:val="707E45F3"/>
    <w:rsid w:val="70975BEE"/>
    <w:rsid w:val="70BA6FCA"/>
    <w:rsid w:val="70C868F7"/>
    <w:rsid w:val="711E6272"/>
    <w:rsid w:val="7128097A"/>
    <w:rsid w:val="71F024EC"/>
    <w:rsid w:val="72274418"/>
    <w:rsid w:val="722A5D95"/>
    <w:rsid w:val="722D5775"/>
    <w:rsid w:val="725D7C73"/>
    <w:rsid w:val="727A1B3E"/>
    <w:rsid w:val="728A456D"/>
    <w:rsid w:val="728E514C"/>
    <w:rsid w:val="72B3521A"/>
    <w:rsid w:val="72CE770F"/>
    <w:rsid w:val="72E20B39"/>
    <w:rsid w:val="72FD0D4F"/>
    <w:rsid w:val="731F1E78"/>
    <w:rsid w:val="732374CF"/>
    <w:rsid w:val="732A0FAF"/>
    <w:rsid w:val="73612CA8"/>
    <w:rsid w:val="737627DF"/>
    <w:rsid w:val="739179EC"/>
    <w:rsid w:val="73F6748E"/>
    <w:rsid w:val="743E3491"/>
    <w:rsid w:val="746C1B8B"/>
    <w:rsid w:val="74D44B4A"/>
    <w:rsid w:val="74DC185F"/>
    <w:rsid w:val="75001DFF"/>
    <w:rsid w:val="750A525C"/>
    <w:rsid w:val="7523769F"/>
    <w:rsid w:val="753E2DFF"/>
    <w:rsid w:val="7564156A"/>
    <w:rsid w:val="75B35D3E"/>
    <w:rsid w:val="75F85728"/>
    <w:rsid w:val="764D1B60"/>
    <w:rsid w:val="768B11DD"/>
    <w:rsid w:val="77334875"/>
    <w:rsid w:val="77442F4E"/>
    <w:rsid w:val="77995CFB"/>
    <w:rsid w:val="77C66E6B"/>
    <w:rsid w:val="77EE204E"/>
    <w:rsid w:val="77F01DDF"/>
    <w:rsid w:val="77F26986"/>
    <w:rsid w:val="77F8605A"/>
    <w:rsid w:val="78155046"/>
    <w:rsid w:val="78310F1E"/>
    <w:rsid w:val="788820B1"/>
    <w:rsid w:val="78B36753"/>
    <w:rsid w:val="797258EC"/>
    <w:rsid w:val="79787153"/>
    <w:rsid w:val="79F539CA"/>
    <w:rsid w:val="79FD7127"/>
    <w:rsid w:val="7A042020"/>
    <w:rsid w:val="7A145139"/>
    <w:rsid w:val="7A297FAB"/>
    <w:rsid w:val="7A7E4EA4"/>
    <w:rsid w:val="7AA90DAD"/>
    <w:rsid w:val="7B5E5A5E"/>
    <w:rsid w:val="7B642F07"/>
    <w:rsid w:val="7B6F17FA"/>
    <w:rsid w:val="7B725241"/>
    <w:rsid w:val="7BB3778F"/>
    <w:rsid w:val="7BC010BF"/>
    <w:rsid w:val="7BDA15B4"/>
    <w:rsid w:val="7BDD1781"/>
    <w:rsid w:val="7C1622A2"/>
    <w:rsid w:val="7D2B1E28"/>
    <w:rsid w:val="7D527633"/>
    <w:rsid w:val="7D971D3D"/>
    <w:rsid w:val="7E0D0D5F"/>
    <w:rsid w:val="7E617ADF"/>
    <w:rsid w:val="7E6E4E47"/>
    <w:rsid w:val="7F081030"/>
    <w:rsid w:val="7F593EF4"/>
    <w:rsid w:val="7F691B4F"/>
    <w:rsid w:val="7F7F5E22"/>
    <w:rsid w:val="7FEB307F"/>
    <w:rsid w:val="7FF8713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line="600" w:lineRule="exact"/>
      <w:ind w:firstLine="880" w:firstLineChars="200"/>
      <w:outlineLvl w:val="0"/>
    </w:pPr>
    <w:rPr>
      <w:rFonts w:eastAsia="黑体"/>
      <w:bCs/>
      <w:kern w:val="44"/>
      <w:sz w:val="32"/>
      <w:szCs w:val="44"/>
    </w:rPr>
  </w:style>
  <w:style w:type="paragraph" w:styleId="3">
    <w:name w:val="heading 2"/>
    <w:basedOn w:val="1"/>
    <w:next w:val="1"/>
    <w:qFormat/>
    <w:uiPriority w:val="99"/>
    <w:pPr>
      <w:keepNext/>
      <w:keepLines/>
      <w:spacing w:line="240" w:lineRule="auto"/>
      <w:ind w:firstLine="880" w:firstLineChars="200"/>
      <w:outlineLvl w:val="1"/>
    </w:pPr>
    <w:rPr>
      <w:rFonts w:ascii="Arial" w:hAnsi="Arial" w:eastAsia="楷体"/>
      <w:bCs/>
      <w:kern w:val="0"/>
      <w:sz w:val="32"/>
      <w:szCs w:val="32"/>
    </w:rPr>
  </w:style>
  <w:style w:type="paragraph" w:styleId="4">
    <w:name w:val="heading 3"/>
    <w:basedOn w:val="1"/>
    <w:next w:val="1"/>
    <w:qFormat/>
    <w:uiPriority w:val="99"/>
    <w:pPr>
      <w:keepNext/>
      <w:keepLines/>
      <w:spacing w:line="240" w:lineRule="auto"/>
      <w:ind w:firstLine="880" w:firstLineChars="200"/>
      <w:outlineLvl w:val="2"/>
    </w:pPr>
    <w:rPr>
      <w:rFonts w:eastAsia="仿宋"/>
      <w:bCs/>
      <w:kern w:val="0"/>
      <w:sz w:val="32"/>
      <w:szCs w:val="32"/>
    </w:rPr>
  </w:style>
  <w:style w:type="character" w:default="1" w:styleId="16">
    <w:name w:val="Default Paragraph Font"/>
    <w:semiHidden/>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styleId="5">
    <w:name w:val="toc 7"/>
    <w:basedOn w:val="1"/>
    <w:next w:val="1"/>
    <w:uiPriority w:val="0"/>
    <w:pPr>
      <w:ind w:left="2520" w:leftChars="1200"/>
    </w:pPr>
  </w:style>
  <w:style w:type="paragraph" w:styleId="6">
    <w:name w:val="toc 5"/>
    <w:basedOn w:val="1"/>
    <w:next w:val="1"/>
    <w:uiPriority w:val="0"/>
    <w:pPr>
      <w:ind w:left="1680" w:leftChars="800"/>
    </w:pPr>
  </w:style>
  <w:style w:type="paragraph" w:styleId="7">
    <w:name w:val="toc 3"/>
    <w:basedOn w:val="1"/>
    <w:next w:val="1"/>
    <w:uiPriority w:val="0"/>
    <w:pPr>
      <w:ind w:left="840" w:leftChars="400"/>
    </w:pPr>
  </w:style>
  <w:style w:type="paragraph" w:styleId="8">
    <w:name w:val="toc 8"/>
    <w:basedOn w:val="1"/>
    <w:next w:val="1"/>
    <w:uiPriority w:val="0"/>
    <w:pPr>
      <w:ind w:left="2940" w:leftChars="1400"/>
    </w:pPr>
  </w:style>
  <w:style w:type="paragraph" w:styleId="9">
    <w:name w:val="footer"/>
    <w:basedOn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uiPriority w:val="0"/>
  </w:style>
  <w:style w:type="paragraph" w:styleId="12">
    <w:name w:val="toc 4"/>
    <w:basedOn w:val="1"/>
    <w:next w:val="1"/>
    <w:uiPriority w:val="0"/>
    <w:pPr>
      <w:ind w:left="1260" w:leftChars="600"/>
    </w:pPr>
  </w:style>
  <w:style w:type="paragraph" w:styleId="13">
    <w:name w:val="toc 6"/>
    <w:basedOn w:val="1"/>
    <w:next w:val="1"/>
    <w:uiPriority w:val="0"/>
    <w:pPr>
      <w:ind w:left="2100" w:leftChars="1000"/>
    </w:pPr>
  </w:style>
  <w:style w:type="paragraph" w:styleId="14">
    <w:name w:val="toc 2"/>
    <w:basedOn w:val="1"/>
    <w:next w:val="1"/>
    <w:qFormat/>
    <w:uiPriority w:val="39"/>
    <w:pPr>
      <w:ind w:left="420" w:leftChars="200"/>
    </w:pPr>
  </w:style>
  <w:style w:type="paragraph" w:styleId="15">
    <w:name w:val="toc 9"/>
    <w:basedOn w:val="1"/>
    <w:next w:val="1"/>
    <w:uiPriority w:val="0"/>
    <w:pPr>
      <w:ind w:left="3360" w:leftChars="1600"/>
    </w:pPr>
  </w:style>
  <w:style w:type="character" w:styleId="17">
    <w:name w:val="page number"/>
    <w:basedOn w:val="16"/>
    <w:qFormat/>
    <w:uiPriority w:val="99"/>
  </w:style>
  <w:style w:type="paragraph" w:customStyle="1" w:styleId="19">
    <w:name w:val="WPSOffice手动目录 1"/>
    <w:qFormat/>
    <w:uiPriority w:val="0"/>
    <w:rPr>
      <w:rFonts w:ascii="Calibri" w:hAnsi="Calibri" w:eastAsia="宋体" w:cs="Times New Roman"/>
      <w:lang w:val="en-US" w:eastAsia="zh-CN" w:bidi="ar-SA"/>
    </w:rPr>
  </w:style>
  <w:style w:type="paragraph" w:customStyle="1" w:styleId="20">
    <w:name w:val="WPSOffice手动目录 2"/>
    <w:qFormat/>
    <w:uiPriority w:val="0"/>
    <w:pPr>
      <w:ind w:leftChars="200"/>
    </w:pPr>
    <w:rPr>
      <w:rFonts w:ascii="Calibri" w:hAnsi="Calibri" w:eastAsia="宋体" w:cs="Times New Roman"/>
      <w:lang w:val="en-US" w:eastAsia="zh-CN" w:bidi="ar-SA"/>
    </w:rPr>
  </w:style>
  <w:style w:type="paragraph" w:customStyle="1" w:styleId="21">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2022-02-18T09:45:00Z</dcterms:created>
  <dc:creator>3</dc:creator>
  <cp:lastModifiedBy>lenovo</cp:lastModifiedBy>
  <dcterms:modified xsi:type="dcterms:W3CDTF">2023-05-19T07:48:01Z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