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52"/>
          <w:szCs w:val="20"/>
        </w:rPr>
      </w:pPr>
    </w:p>
    <w:p>
      <w:pPr>
        <w:jc w:val="center"/>
        <w:rPr>
          <w:b/>
          <w:sz w:val="52"/>
          <w:szCs w:val="20"/>
        </w:rPr>
      </w:pPr>
    </w:p>
    <w:p>
      <w:pPr>
        <w:jc w:val="center"/>
        <w:rPr>
          <w:b/>
          <w:sz w:val="52"/>
          <w:szCs w:val="20"/>
        </w:rPr>
      </w:pPr>
    </w:p>
    <w:p>
      <w:pPr>
        <w:jc w:val="center"/>
        <w:rPr>
          <w:b/>
          <w:sz w:val="52"/>
          <w:szCs w:val="20"/>
        </w:rPr>
      </w:pPr>
      <w:r>
        <w:rPr>
          <w:rFonts w:hint="eastAsia"/>
          <w:b/>
          <w:sz w:val="52"/>
          <w:szCs w:val="20"/>
        </w:rPr>
        <w:t>北京市顺义区人民法院</w:t>
      </w:r>
    </w:p>
    <w:p>
      <w:pPr>
        <w:jc w:val="center"/>
        <w:rPr>
          <w:b/>
          <w:sz w:val="52"/>
          <w:szCs w:val="20"/>
        </w:rPr>
      </w:pPr>
      <w:r>
        <w:rPr>
          <w:rFonts w:hint="eastAsia"/>
          <w:b/>
          <w:sz w:val="52"/>
          <w:szCs w:val="20"/>
        </w:rPr>
        <w:t>部门整体绩效评价报告</w:t>
      </w:r>
    </w:p>
    <w:p>
      <w:pPr>
        <w:jc w:val="center"/>
        <w:rPr>
          <w:sz w:val="30"/>
          <w:szCs w:val="20"/>
        </w:rPr>
      </w:pPr>
    </w:p>
    <w:p>
      <w:pPr>
        <w:spacing w:line="560" w:lineRule="exact"/>
        <w:jc w:val="center"/>
        <w:rPr>
          <w:rFonts w:eastAsia="方正小标宋简体"/>
          <w:sz w:val="36"/>
          <w:szCs w:val="36"/>
        </w:rPr>
      </w:pPr>
    </w:p>
    <w:p>
      <w:pPr>
        <w:spacing w:line="560" w:lineRule="exact"/>
        <w:jc w:val="center"/>
        <w:rPr>
          <w:rFonts w:eastAsia="方正小标宋简体"/>
          <w:sz w:val="36"/>
          <w:szCs w:val="36"/>
        </w:rPr>
      </w:pPr>
    </w:p>
    <w:p>
      <w:pPr>
        <w:spacing w:line="560" w:lineRule="exact"/>
        <w:jc w:val="center"/>
        <w:rPr>
          <w:rFonts w:eastAsia="方正小标宋简体"/>
          <w:sz w:val="36"/>
          <w:szCs w:val="36"/>
        </w:rPr>
      </w:pPr>
    </w:p>
    <w:p>
      <w:pPr>
        <w:spacing w:line="560" w:lineRule="exact"/>
        <w:jc w:val="center"/>
        <w:rPr>
          <w:rFonts w:eastAsia="方正小标宋简体"/>
          <w:sz w:val="36"/>
          <w:szCs w:val="36"/>
        </w:rPr>
      </w:pPr>
    </w:p>
    <w:p>
      <w:pPr>
        <w:spacing w:line="560" w:lineRule="exact"/>
        <w:jc w:val="center"/>
        <w:rPr>
          <w:rFonts w:eastAsia="方正小标宋简体"/>
          <w:sz w:val="36"/>
          <w:szCs w:val="36"/>
        </w:rPr>
      </w:pPr>
    </w:p>
    <w:p>
      <w:pPr>
        <w:spacing w:line="560" w:lineRule="exact"/>
        <w:jc w:val="center"/>
        <w:rPr>
          <w:rFonts w:eastAsia="方正小标宋简体"/>
          <w:sz w:val="36"/>
          <w:szCs w:val="36"/>
        </w:rPr>
      </w:pPr>
    </w:p>
    <w:p>
      <w:pPr>
        <w:spacing w:line="560" w:lineRule="exact"/>
        <w:jc w:val="center"/>
        <w:rPr>
          <w:rFonts w:eastAsia="方正小标宋简体"/>
          <w:sz w:val="36"/>
          <w:szCs w:val="36"/>
        </w:rPr>
      </w:pPr>
    </w:p>
    <w:p>
      <w:pPr>
        <w:spacing w:line="560" w:lineRule="exact"/>
        <w:jc w:val="center"/>
        <w:rPr>
          <w:rFonts w:eastAsia="方正小标宋简体"/>
          <w:sz w:val="36"/>
          <w:szCs w:val="36"/>
        </w:rPr>
      </w:pPr>
    </w:p>
    <w:p>
      <w:pPr>
        <w:spacing w:line="560" w:lineRule="exact"/>
        <w:jc w:val="center"/>
        <w:rPr>
          <w:rFonts w:eastAsia="方正小标宋简体"/>
          <w:sz w:val="36"/>
          <w:szCs w:val="36"/>
        </w:rPr>
      </w:pPr>
    </w:p>
    <w:p>
      <w:pPr>
        <w:spacing w:line="560" w:lineRule="exact"/>
        <w:jc w:val="center"/>
        <w:rPr>
          <w:rFonts w:eastAsia="方正小标宋简体"/>
          <w:sz w:val="36"/>
          <w:szCs w:val="36"/>
        </w:rPr>
      </w:pPr>
    </w:p>
    <w:p>
      <w:pPr>
        <w:spacing w:line="560" w:lineRule="exact"/>
        <w:jc w:val="center"/>
        <w:rPr>
          <w:rFonts w:eastAsia="方正小标宋简体"/>
          <w:sz w:val="36"/>
          <w:szCs w:val="36"/>
        </w:rPr>
      </w:pPr>
    </w:p>
    <w:p>
      <w:pPr>
        <w:spacing w:line="560" w:lineRule="exact"/>
        <w:jc w:val="center"/>
        <w:rPr>
          <w:rFonts w:eastAsia="方正小标宋简体"/>
          <w:sz w:val="36"/>
          <w:szCs w:val="36"/>
        </w:rPr>
      </w:pPr>
    </w:p>
    <w:p>
      <w:pPr>
        <w:spacing w:line="560" w:lineRule="exact"/>
        <w:jc w:val="center"/>
        <w:rPr>
          <w:rFonts w:eastAsia="方正小标宋简体"/>
          <w:sz w:val="36"/>
          <w:szCs w:val="36"/>
        </w:rPr>
      </w:pPr>
    </w:p>
    <w:p>
      <w:pPr>
        <w:spacing w:line="560" w:lineRule="exact"/>
        <w:jc w:val="center"/>
        <w:rPr>
          <w:rFonts w:eastAsia="方正小标宋简体"/>
          <w:sz w:val="36"/>
          <w:szCs w:val="36"/>
        </w:rPr>
      </w:pPr>
    </w:p>
    <w:p>
      <w:pPr>
        <w:spacing w:line="560" w:lineRule="exact"/>
        <w:jc w:val="center"/>
        <w:rPr>
          <w:rFonts w:eastAsia="方正小标宋简体"/>
          <w:sz w:val="36"/>
          <w:szCs w:val="36"/>
        </w:rPr>
      </w:pPr>
    </w:p>
    <w:p>
      <w:pPr>
        <w:spacing w:line="560" w:lineRule="exact"/>
        <w:jc w:val="center"/>
        <w:rPr>
          <w:rFonts w:eastAsia="方正小标宋简体"/>
          <w:sz w:val="36"/>
          <w:szCs w:val="36"/>
        </w:rPr>
      </w:pPr>
    </w:p>
    <w:p>
      <w:pPr>
        <w:spacing w:line="560" w:lineRule="exact"/>
        <w:jc w:val="center"/>
        <w:rPr>
          <w:rFonts w:eastAsia="方正小标宋简体"/>
          <w:sz w:val="36"/>
          <w:szCs w:val="36"/>
        </w:rPr>
        <w:sectPr>
          <w:pgSz w:w="11906" w:h="16838"/>
          <w:pgMar w:top="1440" w:right="1800" w:bottom="1440" w:left="1800" w:header="851" w:footer="992" w:gutter="0"/>
          <w:pgNumType w:start="0"/>
          <w:cols w:space="425" w:num="1"/>
          <w:docGrid w:type="lines" w:linePitch="312" w:charSpace="0"/>
        </w:sectPr>
      </w:pPr>
    </w:p>
    <w:p>
      <w:pPr>
        <w:spacing w:line="560" w:lineRule="exact"/>
        <w:jc w:val="center"/>
        <w:rPr>
          <w:rFonts w:eastAsia="方正小标宋简体"/>
          <w:sz w:val="36"/>
          <w:szCs w:val="36"/>
        </w:rPr>
      </w:pPr>
    </w:p>
    <w:p>
      <w:pPr>
        <w:spacing w:line="560" w:lineRule="exact"/>
        <w:jc w:val="center"/>
        <w:rPr>
          <w:rFonts w:eastAsia="方正小标宋简体"/>
          <w:sz w:val="36"/>
          <w:szCs w:val="36"/>
        </w:rPr>
      </w:pPr>
    </w:p>
    <w:p>
      <w:pPr>
        <w:spacing w:line="560" w:lineRule="exact"/>
        <w:jc w:val="center"/>
        <w:rPr>
          <w:rFonts w:eastAsia="仿宋_GB2312"/>
          <w:b/>
          <w:sz w:val="36"/>
          <w:szCs w:val="36"/>
        </w:rPr>
      </w:pPr>
      <w:r>
        <w:rPr>
          <w:rFonts w:hint="eastAsia" w:eastAsia="仿宋_GB2312"/>
          <w:b/>
          <w:sz w:val="36"/>
          <w:szCs w:val="36"/>
        </w:rPr>
        <w:t>北京市顺义区人民法院</w:t>
      </w:r>
    </w:p>
    <w:p>
      <w:pPr>
        <w:spacing w:line="560" w:lineRule="exact"/>
        <w:jc w:val="center"/>
        <w:rPr>
          <w:rFonts w:eastAsia="仿宋_GB2312"/>
          <w:b/>
          <w:sz w:val="36"/>
          <w:szCs w:val="36"/>
        </w:rPr>
      </w:pPr>
      <w:r>
        <w:rPr>
          <w:rFonts w:hint="eastAsia" w:eastAsia="仿宋_GB2312"/>
          <w:b/>
          <w:sz w:val="36"/>
          <w:szCs w:val="36"/>
        </w:rPr>
        <w:t>2022年部门整体绩效评价报告</w:t>
      </w:r>
    </w:p>
    <w:p>
      <w:pPr>
        <w:spacing w:line="560" w:lineRule="exact"/>
        <w:rPr>
          <w:rFonts w:eastAsia="方正小标宋简体"/>
          <w:sz w:val="36"/>
          <w:szCs w:val="36"/>
        </w:rPr>
      </w:pPr>
      <w:r>
        <w:rPr>
          <w:rFonts w:hint="eastAsia" w:eastAsia="方正小标宋简体"/>
          <w:sz w:val="36"/>
          <w:szCs w:val="36"/>
        </w:rPr>
        <w:t xml:space="preserve"> </w:t>
      </w:r>
      <w:r>
        <w:rPr>
          <w:rFonts w:eastAsia="方正小标宋简体"/>
          <w:sz w:val="36"/>
          <w:szCs w:val="36"/>
        </w:rPr>
        <w:t xml:space="preserve">                      </w:t>
      </w:r>
    </w:p>
    <w:p>
      <w:pPr>
        <w:ind w:firstLine="600" w:firstLineChars="200"/>
        <w:rPr>
          <w:rFonts w:eastAsia="仿宋_GB2312"/>
          <w:sz w:val="30"/>
          <w:szCs w:val="30"/>
        </w:rPr>
      </w:pPr>
      <w:r>
        <w:rPr>
          <w:rFonts w:hint="eastAsia" w:eastAsia="仿宋_GB2312"/>
          <w:sz w:val="30"/>
          <w:szCs w:val="30"/>
        </w:rPr>
        <w:t>2022年是党的二十大胜利召开之年，是“十四五”规划实施的关键之年，是疫情防控取得重大决定性胜利之年。北京市顺义区人民法院在区委的坚强领导和市高院的正确指导下，紧扣高质量发展工作主题，推动各项工作取得新的重要发展，把学习宣传贯彻党的二十大精神作为首要政治任务，深化党建引领、凝聚发展合力，坚持全局谋划、加强重点突破，维护社会主义法制和社会秩序，保护公民的人身权利、民主权利和其他权利，保障国家的社会主义建设事业的进行。</w:t>
      </w:r>
    </w:p>
    <w:p>
      <w:pPr>
        <w:ind w:firstLine="600" w:firstLineChars="200"/>
        <w:rPr>
          <w:rFonts w:eastAsia="仿宋_GB2312"/>
          <w:sz w:val="30"/>
          <w:szCs w:val="30"/>
        </w:rPr>
      </w:pPr>
      <w:r>
        <w:rPr>
          <w:rFonts w:hint="eastAsia" w:eastAsia="仿宋_GB2312"/>
          <w:sz w:val="30"/>
          <w:szCs w:val="30"/>
        </w:rPr>
        <w:t>为深化全过程预算绩效管理，促进预算部门提高预算执行效率和资金使用效率。根据《北京市项目支出绩效评价管理办法》（京财绩效〔2020〕2146号）和《北京市财政局关于2023年推进全面实施预算绩效管理工作的通知》等文件规定，北京市顺义区人民法院（以下简称：“顺义法院”）对本部门整体绩效情况实施评价，形成本绩效评价报告。</w:t>
      </w:r>
    </w:p>
    <w:p>
      <w:pPr>
        <w:spacing w:line="600" w:lineRule="exact"/>
        <w:ind w:firstLine="640" w:firstLineChars="200"/>
        <w:rPr>
          <w:rFonts w:eastAsia="黑体"/>
          <w:color w:val="000000"/>
          <w:kern w:val="0"/>
          <w:sz w:val="32"/>
          <w:szCs w:val="32"/>
        </w:rPr>
      </w:pPr>
      <w:r>
        <w:rPr>
          <w:rFonts w:eastAsia="黑体"/>
          <w:color w:val="000000"/>
          <w:kern w:val="0"/>
          <w:sz w:val="32"/>
          <w:szCs w:val="32"/>
        </w:rPr>
        <w:t>一、部门概况</w:t>
      </w:r>
    </w:p>
    <w:p>
      <w:pPr>
        <w:spacing w:line="600" w:lineRule="exact"/>
        <w:ind w:firstLine="640" w:firstLineChars="200"/>
        <w:rPr>
          <w:rFonts w:eastAsia="楷体_GB2312"/>
          <w:sz w:val="32"/>
          <w:szCs w:val="32"/>
        </w:rPr>
      </w:pPr>
      <w:r>
        <w:rPr>
          <w:rFonts w:eastAsia="楷体_GB2312"/>
          <w:sz w:val="32"/>
          <w:szCs w:val="32"/>
        </w:rPr>
        <w:t>（一）机构设置及职责工作任务情况</w:t>
      </w:r>
    </w:p>
    <w:p>
      <w:pPr>
        <w:spacing w:line="600" w:lineRule="exact"/>
        <w:ind w:firstLine="600" w:firstLineChars="200"/>
        <w:rPr>
          <w:rFonts w:eastAsia="仿宋_GB2312"/>
          <w:sz w:val="30"/>
          <w:szCs w:val="30"/>
          <w:highlight w:val="yellow"/>
        </w:rPr>
      </w:pPr>
      <w:r>
        <w:rPr>
          <w:rFonts w:hint="eastAsia" w:eastAsia="仿宋_GB2312"/>
          <w:sz w:val="30"/>
          <w:szCs w:val="30"/>
        </w:rPr>
        <w:t>顺义法院</w:t>
      </w:r>
      <w:r>
        <w:rPr>
          <w:rFonts w:eastAsia="仿宋_GB2312"/>
          <w:sz w:val="30"/>
          <w:szCs w:val="30"/>
        </w:rPr>
        <w:t>作为国家审判机关于1949年成立，在所管辖地区依法独立行使审判权。现设有内设机构12个，分别为立案庭（诉讼服务中心）、刑事审判庭、民事审判一庭、民事审判二庭、民事审判三庭、行政审判庭、综合审判庭、执行局、审判管理办公室（研究室）、政治部（机关党委、机关纪委）、综合办公室、司法警察大队；派出法庭5个，分别为后沙峪人民法庭、杨镇人民法庭、牛栏山人民法庭、李遂人民法庭、天竺人民法庭；正科级事业单位1个，为顺义区人民法院综合事务中心。</w:t>
      </w:r>
    </w:p>
    <w:p>
      <w:pPr>
        <w:spacing w:line="600" w:lineRule="exact"/>
        <w:ind w:firstLine="600" w:firstLineChars="200"/>
        <w:rPr>
          <w:rFonts w:eastAsia="仿宋_GB2312"/>
          <w:sz w:val="30"/>
          <w:szCs w:val="30"/>
        </w:rPr>
      </w:pPr>
      <w:r>
        <w:rPr>
          <w:rFonts w:eastAsia="仿宋_GB2312"/>
          <w:sz w:val="30"/>
          <w:szCs w:val="30"/>
        </w:rPr>
        <w:t>顺义法院作为国家审判机关，在所管辖地区依法独立行使审判权。其主要职责是：</w:t>
      </w:r>
    </w:p>
    <w:p>
      <w:pPr>
        <w:spacing w:line="600" w:lineRule="exact"/>
        <w:ind w:firstLine="600" w:firstLineChars="200"/>
        <w:rPr>
          <w:rFonts w:eastAsia="仿宋_GB2312"/>
          <w:sz w:val="30"/>
          <w:szCs w:val="30"/>
        </w:rPr>
      </w:pPr>
      <w:r>
        <w:rPr>
          <w:rFonts w:eastAsia="仿宋_GB2312"/>
          <w:sz w:val="30"/>
          <w:szCs w:val="30"/>
        </w:rPr>
        <w:t>1、依法审判本辖区的刑事、民事、行政等第一审案件。</w:t>
      </w:r>
    </w:p>
    <w:p>
      <w:pPr>
        <w:spacing w:line="600" w:lineRule="exact"/>
        <w:ind w:firstLine="600" w:firstLineChars="200"/>
        <w:rPr>
          <w:rFonts w:eastAsia="仿宋_GB2312"/>
          <w:sz w:val="30"/>
          <w:szCs w:val="30"/>
        </w:rPr>
      </w:pPr>
      <w:r>
        <w:rPr>
          <w:rFonts w:eastAsia="仿宋_GB2312"/>
          <w:sz w:val="30"/>
          <w:szCs w:val="30"/>
        </w:rPr>
        <w:t>2、受理和审查各类告诉、申诉案件，处理来信来访。对其中确有错误的已发生法律效率的判决、裁定，根据审判监督程序进行再审。</w:t>
      </w:r>
    </w:p>
    <w:p>
      <w:pPr>
        <w:spacing w:line="600" w:lineRule="exact"/>
        <w:ind w:firstLine="600" w:firstLineChars="200"/>
        <w:rPr>
          <w:rFonts w:eastAsia="仿宋_GB2312"/>
          <w:sz w:val="30"/>
          <w:szCs w:val="30"/>
        </w:rPr>
      </w:pPr>
      <w:r>
        <w:rPr>
          <w:rFonts w:eastAsia="仿宋_GB2312"/>
          <w:sz w:val="30"/>
          <w:szCs w:val="30"/>
        </w:rPr>
        <w:t>3、依法行使执行权和司法决定权。</w:t>
      </w:r>
    </w:p>
    <w:p>
      <w:pPr>
        <w:spacing w:line="600" w:lineRule="exact"/>
        <w:ind w:firstLine="600" w:firstLineChars="200"/>
        <w:rPr>
          <w:rFonts w:eastAsia="仿宋_GB2312"/>
          <w:sz w:val="30"/>
          <w:szCs w:val="30"/>
        </w:rPr>
      </w:pPr>
      <w:r>
        <w:rPr>
          <w:rFonts w:eastAsia="仿宋_GB2312"/>
          <w:sz w:val="30"/>
          <w:szCs w:val="30"/>
        </w:rPr>
        <w:t>4、针对案件审理中发现的问题提出司法建议。</w:t>
      </w:r>
    </w:p>
    <w:p>
      <w:pPr>
        <w:spacing w:line="600" w:lineRule="exact"/>
        <w:ind w:firstLine="600" w:firstLineChars="200"/>
        <w:rPr>
          <w:rFonts w:eastAsia="仿宋_GB2312"/>
          <w:sz w:val="30"/>
          <w:szCs w:val="30"/>
        </w:rPr>
      </w:pPr>
      <w:r>
        <w:rPr>
          <w:rFonts w:eastAsia="仿宋_GB2312"/>
          <w:sz w:val="30"/>
          <w:szCs w:val="30"/>
        </w:rPr>
        <w:t>5、按照干部管理权限管理本院的法官、法官助理和书记员、司法警察和司法行政人员。</w:t>
      </w:r>
    </w:p>
    <w:p>
      <w:pPr>
        <w:spacing w:line="600" w:lineRule="exact"/>
        <w:ind w:firstLine="600" w:firstLineChars="200"/>
        <w:rPr>
          <w:rFonts w:eastAsia="仿宋_GB2312"/>
          <w:sz w:val="30"/>
          <w:szCs w:val="30"/>
        </w:rPr>
      </w:pPr>
      <w:r>
        <w:rPr>
          <w:rFonts w:eastAsia="仿宋_GB2312"/>
          <w:sz w:val="30"/>
          <w:szCs w:val="30"/>
        </w:rPr>
        <w:t>6、负责本院党组织的思想、组织、作风建设工作；领导本院工、青、妇等群众组织工作。</w:t>
      </w:r>
    </w:p>
    <w:p>
      <w:pPr>
        <w:spacing w:line="600" w:lineRule="exact"/>
        <w:ind w:firstLine="600" w:firstLineChars="200"/>
        <w:rPr>
          <w:rFonts w:eastAsia="仿宋_GB2312"/>
          <w:sz w:val="30"/>
          <w:szCs w:val="30"/>
        </w:rPr>
      </w:pPr>
      <w:r>
        <w:rPr>
          <w:rFonts w:eastAsia="仿宋_GB2312"/>
          <w:sz w:val="30"/>
          <w:szCs w:val="30"/>
        </w:rPr>
        <w:t>7、负责本院的监察工作。按照管理权限监督、检查本院工作人员执行国家法律、法规、政策及纪律情况。</w:t>
      </w:r>
    </w:p>
    <w:p>
      <w:pPr>
        <w:spacing w:line="600" w:lineRule="exact"/>
        <w:ind w:firstLine="600" w:firstLineChars="200"/>
        <w:rPr>
          <w:rFonts w:eastAsia="仿宋_GB2312"/>
          <w:sz w:val="30"/>
          <w:szCs w:val="30"/>
        </w:rPr>
      </w:pPr>
      <w:r>
        <w:rPr>
          <w:rFonts w:eastAsia="仿宋_GB2312"/>
          <w:sz w:val="30"/>
          <w:szCs w:val="30"/>
        </w:rPr>
        <w:t>8、承办其他应由本区人民法院负责的工作。</w:t>
      </w:r>
    </w:p>
    <w:p>
      <w:pPr>
        <w:spacing w:line="600" w:lineRule="exact"/>
        <w:ind w:firstLine="640" w:firstLineChars="200"/>
        <w:rPr>
          <w:rFonts w:eastAsia="楷体_GB2312"/>
          <w:sz w:val="32"/>
          <w:szCs w:val="32"/>
        </w:rPr>
      </w:pPr>
      <w:r>
        <w:rPr>
          <w:rFonts w:eastAsia="楷体_GB2312"/>
          <w:sz w:val="32"/>
          <w:szCs w:val="32"/>
        </w:rPr>
        <w:t>（二）部门整体绩效目标设立情况</w:t>
      </w:r>
    </w:p>
    <w:p>
      <w:pPr>
        <w:spacing w:line="600" w:lineRule="exact"/>
        <w:ind w:firstLine="600" w:firstLineChars="200"/>
        <w:rPr>
          <w:rFonts w:eastAsia="仿宋_GB2312"/>
          <w:sz w:val="30"/>
          <w:szCs w:val="30"/>
        </w:rPr>
      </w:pPr>
      <w:r>
        <w:rPr>
          <w:rFonts w:eastAsia="仿宋_GB2312"/>
          <w:sz w:val="30"/>
          <w:szCs w:val="30"/>
        </w:rPr>
        <w:t>顺义法院依据</w:t>
      </w:r>
      <w:r>
        <w:rPr>
          <w:rFonts w:hint="eastAsia" w:eastAsia="仿宋_GB2312"/>
          <w:sz w:val="30"/>
          <w:szCs w:val="30"/>
        </w:rPr>
        <w:t>2</w:t>
      </w:r>
      <w:r>
        <w:rPr>
          <w:rFonts w:eastAsia="仿宋_GB2312"/>
          <w:sz w:val="30"/>
          <w:szCs w:val="30"/>
        </w:rPr>
        <w:t>02</w:t>
      </w:r>
      <w:r>
        <w:rPr>
          <w:rFonts w:hint="eastAsia" w:eastAsia="仿宋_GB2312"/>
          <w:sz w:val="30"/>
          <w:szCs w:val="30"/>
        </w:rPr>
        <w:t>2年部门工作计划及法院的职责</w:t>
      </w:r>
      <w:r>
        <w:rPr>
          <w:rFonts w:eastAsia="仿宋_GB2312"/>
          <w:sz w:val="30"/>
          <w:szCs w:val="30"/>
        </w:rPr>
        <w:t>，设置了以下绩效目标：</w:t>
      </w:r>
    </w:p>
    <w:p>
      <w:pPr>
        <w:spacing w:line="600" w:lineRule="exact"/>
        <w:ind w:firstLine="600" w:firstLineChars="200"/>
        <w:rPr>
          <w:rFonts w:eastAsia="仿宋_GB2312"/>
          <w:sz w:val="30"/>
          <w:szCs w:val="30"/>
        </w:rPr>
      </w:pPr>
      <w:r>
        <w:rPr>
          <w:rFonts w:eastAsia="仿宋_GB2312"/>
          <w:sz w:val="30"/>
          <w:szCs w:val="30"/>
        </w:rPr>
        <w:t>1、总体目标</w:t>
      </w:r>
    </w:p>
    <w:p>
      <w:pPr>
        <w:spacing w:line="600" w:lineRule="exact"/>
        <w:ind w:firstLine="600" w:firstLineChars="200"/>
        <w:rPr>
          <w:rFonts w:eastAsia="仿宋_GB2312"/>
          <w:sz w:val="30"/>
          <w:szCs w:val="30"/>
        </w:rPr>
      </w:pPr>
      <w:r>
        <w:rPr>
          <w:rFonts w:hint="eastAsia" w:eastAsia="仿宋_GB2312"/>
          <w:sz w:val="30"/>
          <w:szCs w:val="30"/>
        </w:rPr>
        <w:t>坚持以习近平新时代中国特色社会主义思想为指导，深入学习贯彻习近平法治思想，全面贯彻落实党的十九大、二十大和党的历次全会精神，认真贯彻习近平总书记关于政法工作重要指示精神，贯彻落实中央、市委、区委各项决策部署，更加注重系统观念、法治思维、强基导向，坚持党的领导、坚持服务大局、坚持司法为民、坚持公正司法、坚持改革创新、坚持从严管理，努力打造一流审判工作业绩、打造忠诚干净担当队伍、打造“全国优秀法院”，奋力推动新时代法院工作高质量发展，为实现第二个百年奋斗目标、落实首都城市战略定位、建设国际一流和谐宜居之都、落实“平原新城看顺义”“三个走在前列”的目标要求、推动顺义区“十四五”时期经济社会高质量发展提供有力的司法保障</w:t>
      </w:r>
      <w:r>
        <w:rPr>
          <w:rFonts w:eastAsia="仿宋_GB2312"/>
          <w:sz w:val="30"/>
          <w:szCs w:val="30"/>
        </w:rPr>
        <w:t>。</w:t>
      </w:r>
    </w:p>
    <w:p>
      <w:pPr>
        <w:spacing w:line="600" w:lineRule="exact"/>
        <w:ind w:firstLine="600" w:firstLineChars="200"/>
        <w:rPr>
          <w:rFonts w:eastAsia="仿宋_GB2312"/>
          <w:sz w:val="30"/>
          <w:szCs w:val="30"/>
        </w:rPr>
      </w:pPr>
      <w:r>
        <w:rPr>
          <w:rFonts w:eastAsia="仿宋_GB2312"/>
          <w:sz w:val="30"/>
          <w:szCs w:val="30"/>
        </w:rPr>
        <w:t>2、具体目标</w:t>
      </w:r>
    </w:p>
    <w:p>
      <w:pPr>
        <w:spacing w:line="600" w:lineRule="exact"/>
        <w:ind w:firstLine="600" w:firstLineChars="200"/>
        <w:rPr>
          <w:rFonts w:eastAsia="仿宋_GB2312"/>
          <w:sz w:val="30"/>
          <w:szCs w:val="30"/>
          <w:highlight w:val="none"/>
        </w:rPr>
      </w:pPr>
      <w:r>
        <w:rPr>
          <w:rFonts w:eastAsia="仿宋_GB2312"/>
          <w:sz w:val="30"/>
          <w:szCs w:val="30"/>
          <w:highlight w:val="none"/>
        </w:rPr>
        <w:t>（1）202</w:t>
      </w:r>
      <w:r>
        <w:rPr>
          <w:rFonts w:hint="eastAsia" w:eastAsia="仿宋_GB2312"/>
          <w:sz w:val="30"/>
          <w:szCs w:val="30"/>
          <w:highlight w:val="none"/>
        </w:rPr>
        <w:t>2</w:t>
      </w:r>
      <w:r>
        <w:rPr>
          <w:rFonts w:eastAsia="仿宋_GB2312"/>
          <w:sz w:val="30"/>
          <w:szCs w:val="30"/>
          <w:highlight w:val="none"/>
        </w:rPr>
        <w:t>年12月31日前完成全年预算指标</w:t>
      </w:r>
    </w:p>
    <w:p>
      <w:pPr>
        <w:spacing w:line="600" w:lineRule="exact"/>
        <w:ind w:firstLine="600" w:firstLineChars="200"/>
        <w:rPr>
          <w:rFonts w:eastAsia="仿宋_GB2312"/>
          <w:sz w:val="30"/>
          <w:szCs w:val="30"/>
          <w:highlight w:val="none"/>
        </w:rPr>
      </w:pPr>
      <w:r>
        <w:rPr>
          <w:rFonts w:eastAsia="仿宋_GB2312"/>
          <w:sz w:val="30"/>
          <w:szCs w:val="30"/>
          <w:highlight w:val="none"/>
        </w:rPr>
        <w:t>（2）案件结案率在202</w:t>
      </w:r>
      <w:r>
        <w:rPr>
          <w:rFonts w:hint="eastAsia" w:eastAsia="仿宋_GB2312"/>
          <w:sz w:val="30"/>
          <w:szCs w:val="30"/>
          <w:highlight w:val="none"/>
        </w:rPr>
        <w:t>1</w:t>
      </w:r>
      <w:r>
        <w:rPr>
          <w:rFonts w:eastAsia="仿宋_GB2312"/>
          <w:sz w:val="30"/>
          <w:szCs w:val="30"/>
          <w:highlight w:val="none"/>
        </w:rPr>
        <w:t>年完成的基础稳步上升</w:t>
      </w:r>
    </w:p>
    <w:p>
      <w:pPr>
        <w:spacing w:line="600" w:lineRule="exact"/>
        <w:ind w:firstLine="600" w:firstLineChars="200"/>
        <w:rPr>
          <w:rFonts w:eastAsia="仿宋_GB2312"/>
          <w:sz w:val="30"/>
          <w:szCs w:val="30"/>
          <w:highlight w:val="none"/>
        </w:rPr>
      </w:pPr>
      <w:r>
        <w:rPr>
          <w:rFonts w:eastAsia="仿宋_GB2312"/>
          <w:sz w:val="30"/>
          <w:szCs w:val="30"/>
          <w:highlight w:val="none"/>
        </w:rPr>
        <w:t>（3）严格反控各项开支范围，做到不超范围、不超标准</w:t>
      </w:r>
    </w:p>
    <w:p>
      <w:pPr>
        <w:spacing w:line="600" w:lineRule="exact"/>
        <w:ind w:firstLine="600" w:firstLineChars="200"/>
        <w:rPr>
          <w:rFonts w:eastAsia="仿宋_GB2312"/>
          <w:sz w:val="30"/>
          <w:szCs w:val="30"/>
          <w:highlight w:val="none"/>
        </w:rPr>
      </w:pPr>
      <w:r>
        <w:rPr>
          <w:rFonts w:eastAsia="仿宋_GB2312"/>
          <w:sz w:val="30"/>
          <w:szCs w:val="30"/>
          <w:highlight w:val="none"/>
        </w:rPr>
        <w:t>（4）严格执行中央八项规定，严控三公经费开支</w:t>
      </w:r>
    </w:p>
    <w:p>
      <w:pPr>
        <w:spacing w:line="600" w:lineRule="exact"/>
        <w:ind w:firstLine="600" w:firstLineChars="200"/>
        <w:rPr>
          <w:rFonts w:eastAsia="仿宋_GB2312"/>
          <w:sz w:val="30"/>
          <w:szCs w:val="30"/>
          <w:highlight w:val="none"/>
        </w:rPr>
      </w:pPr>
      <w:r>
        <w:rPr>
          <w:rFonts w:eastAsia="仿宋_GB2312"/>
          <w:sz w:val="30"/>
          <w:szCs w:val="30"/>
          <w:highlight w:val="none"/>
        </w:rPr>
        <w:t>（5）全力保障一线干警办案业务需求，努力提升审判质效</w:t>
      </w:r>
    </w:p>
    <w:p>
      <w:pPr>
        <w:spacing w:line="600" w:lineRule="exact"/>
        <w:ind w:firstLine="600" w:firstLineChars="200"/>
        <w:rPr>
          <w:rFonts w:eastAsia="仿宋_GB2312"/>
          <w:sz w:val="30"/>
          <w:szCs w:val="30"/>
          <w:highlight w:val="none"/>
        </w:rPr>
      </w:pPr>
      <w:r>
        <w:rPr>
          <w:rFonts w:eastAsia="仿宋_GB2312"/>
          <w:sz w:val="30"/>
          <w:szCs w:val="30"/>
          <w:highlight w:val="none"/>
        </w:rPr>
        <w:t>（6）做好后勤保障工作，力争全院干警满意度不断提升</w:t>
      </w:r>
    </w:p>
    <w:p>
      <w:pPr>
        <w:spacing w:line="600" w:lineRule="exact"/>
        <w:ind w:firstLine="600" w:firstLineChars="200"/>
        <w:rPr>
          <w:rFonts w:eastAsia="仿宋_GB2312"/>
          <w:sz w:val="30"/>
          <w:szCs w:val="30"/>
          <w:highlight w:val="none"/>
        </w:rPr>
      </w:pPr>
      <w:r>
        <w:rPr>
          <w:rFonts w:eastAsia="仿宋_GB2312"/>
          <w:sz w:val="30"/>
          <w:szCs w:val="30"/>
          <w:highlight w:val="none"/>
        </w:rPr>
        <w:t>（7）严格把关各个项目支出，做到项目执行过程中的有力把控，实现项目绩效目标</w:t>
      </w:r>
    </w:p>
    <w:p>
      <w:pPr>
        <w:spacing w:line="600" w:lineRule="exact"/>
        <w:ind w:firstLine="600" w:firstLineChars="200"/>
        <w:rPr>
          <w:rFonts w:eastAsia="仿宋_GB2312"/>
          <w:sz w:val="30"/>
          <w:szCs w:val="30"/>
        </w:rPr>
      </w:pPr>
      <w:r>
        <w:rPr>
          <w:rFonts w:eastAsia="仿宋_GB2312"/>
          <w:sz w:val="30"/>
          <w:szCs w:val="30"/>
        </w:rPr>
        <w:t>（8）配全信息化建设，努力提升全院信息化水平，为建设智能法院提供有力保障</w:t>
      </w:r>
    </w:p>
    <w:p>
      <w:pPr>
        <w:spacing w:line="600" w:lineRule="exact"/>
        <w:ind w:firstLine="640" w:firstLineChars="200"/>
        <w:rPr>
          <w:rFonts w:eastAsia="黑体"/>
          <w:color w:val="000000"/>
          <w:kern w:val="0"/>
          <w:sz w:val="32"/>
          <w:szCs w:val="32"/>
        </w:rPr>
      </w:pPr>
      <w:r>
        <w:rPr>
          <w:rFonts w:eastAsia="黑体"/>
          <w:color w:val="000000"/>
          <w:kern w:val="0"/>
          <w:sz w:val="32"/>
          <w:szCs w:val="32"/>
        </w:rPr>
        <w:t>二、当年预算执行情况</w:t>
      </w:r>
    </w:p>
    <w:p>
      <w:pPr>
        <w:spacing w:line="600" w:lineRule="exact"/>
        <w:ind w:firstLine="600" w:firstLineChars="200"/>
        <w:rPr>
          <w:rFonts w:eastAsia="仿宋_GB2312"/>
          <w:sz w:val="30"/>
          <w:szCs w:val="30"/>
        </w:rPr>
      </w:pPr>
      <w:r>
        <w:rPr>
          <w:rFonts w:eastAsia="仿宋_GB2312"/>
          <w:sz w:val="30"/>
          <w:szCs w:val="30"/>
        </w:rPr>
        <w:t>202</w:t>
      </w:r>
      <w:r>
        <w:rPr>
          <w:rFonts w:hint="eastAsia" w:eastAsia="仿宋_GB2312"/>
          <w:sz w:val="30"/>
          <w:szCs w:val="30"/>
        </w:rPr>
        <w:t>2</w:t>
      </w:r>
      <w:r>
        <w:rPr>
          <w:rFonts w:eastAsia="仿宋_GB2312"/>
          <w:sz w:val="30"/>
          <w:szCs w:val="30"/>
        </w:rPr>
        <w:t>年全年年初预算数</w:t>
      </w:r>
      <w:r>
        <w:rPr>
          <w:rFonts w:hint="eastAsia" w:eastAsia="仿宋_GB2312"/>
          <w:sz w:val="30"/>
          <w:szCs w:val="30"/>
        </w:rPr>
        <w:t>23,216.19</w:t>
      </w:r>
      <w:r>
        <w:rPr>
          <w:rFonts w:eastAsia="仿宋_GB2312"/>
          <w:sz w:val="30"/>
          <w:szCs w:val="30"/>
        </w:rPr>
        <w:t>万元，调整后预算金额</w:t>
      </w:r>
      <w:r>
        <w:rPr>
          <w:rFonts w:hint="eastAsia" w:eastAsia="仿宋_GB2312"/>
          <w:sz w:val="30"/>
          <w:szCs w:val="30"/>
        </w:rPr>
        <w:t>25,085.31</w:t>
      </w:r>
      <w:r>
        <w:rPr>
          <w:rFonts w:eastAsia="仿宋_GB2312"/>
          <w:sz w:val="30"/>
          <w:szCs w:val="30"/>
        </w:rPr>
        <w:t>万元，其中，基本支出预算数</w:t>
      </w:r>
      <w:r>
        <w:rPr>
          <w:rFonts w:hint="eastAsia" w:eastAsia="仿宋_GB2312"/>
          <w:sz w:val="30"/>
          <w:szCs w:val="30"/>
        </w:rPr>
        <w:t>16,488.50</w:t>
      </w:r>
      <w:r>
        <w:rPr>
          <w:rFonts w:eastAsia="仿宋_GB2312"/>
          <w:sz w:val="30"/>
          <w:szCs w:val="30"/>
        </w:rPr>
        <w:t>万元，项目支出预算数</w:t>
      </w:r>
      <w:r>
        <w:rPr>
          <w:rFonts w:hint="eastAsia" w:eastAsia="仿宋_GB2312"/>
          <w:sz w:val="30"/>
          <w:szCs w:val="30"/>
        </w:rPr>
        <w:t>8,596.81</w:t>
      </w:r>
      <w:r>
        <w:rPr>
          <w:rFonts w:eastAsia="仿宋_GB2312"/>
          <w:sz w:val="30"/>
          <w:szCs w:val="30"/>
        </w:rPr>
        <w:t>万元，其他支出预算数0.00万元。资金总体支出</w:t>
      </w:r>
      <w:r>
        <w:rPr>
          <w:rFonts w:hint="eastAsia" w:eastAsia="仿宋_GB2312"/>
          <w:sz w:val="30"/>
          <w:szCs w:val="30"/>
        </w:rPr>
        <w:t>23,747.73</w:t>
      </w:r>
      <w:r>
        <w:rPr>
          <w:rFonts w:eastAsia="仿宋_GB2312"/>
          <w:sz w:val="30"/>
          <w:szCs w:val="30"/>
        </w:rPr>
        <w:t>万元，其中，基本支出</w:t>
      </w:r>
      <w:r>
        <w:rPr>
          <w:rFonts w:hint="eastAsia" w:eastAsia="仿宋_GB2312"/>
          <w:sz w:val="30"/>
          <w:szCs w:val="30"/>
        </w:rPr>
        <w:t>16,364.75</w:t>
      </w:r>
      <w:r>
        <w:rPr>
          <w:rFonts w:eastAsia="仿宋_GB2312"/>
          <w:sz w:val="30"/>
          <w:szCs w:val="30"/>
        </w:rPr>
        <w:t>万元，项目支出</w:t>
      </w:r>
      <w:r>
        <w:rPr>
          <w:rFonts w:hint="eastAsia" w:eastAsia="仿宋_GB2312"/>
          <w:sz w:val="30"/>
          <w:szCs w:val="30"/>
        </w:rPr>
        <w:t>7,382.98</w:t>
      </w:r>
      <w:r>
        <w:rPr>
          <w:rFonts w:eastAsia="仿宋_GB2312"/>
          <w:sz w:val="30"/>
          <w:szCs w:val="30"/>
        </w:rPr>
        <w:t>万元，其他支出0.00万元。预算执行率为9</w:t>
      </w:r>
      <w:r>
        <w:rPr>
          <w:rFonts w:hint="eastAsia" w:eastAsia="仿宋_GB2312"/>
          <w:sz w:val="30"/>
          <w:szCs w:val="30"/>
        </w:rPr>
        <w:t>4</w:t>
      </w:r>
      <w:r>
        <w:rPr>
          <w:rFonts w:eastAsia="仿宋_GB2312"/>
          <w:sz w:val="30"/>
          <w:szCs w:val="30"/>
        </w:rPr>
        <w:t>.</w:t>
      </w:r>
      <w:r>
        <w:rPr>
          <w:rFonts w:hint="eastAsia" w:eastAsia="仿宋_GB2312"/>
          <w:sz w:val="30"/>
          <w:szCs w:val="30"/>
        </w:rPr>
        <w:t>67</w:t>
      </w:r>
      <w:r>
        <w:rPr>
          <w:rFonts w:eastAsia="仿宋_GB2312"/>
          <w:sz w:val="30"/>
          <w:szCs w:val="30"/>
        </w:rPr>
        <w:t>%。</w:t>
      </w:r>
      <w:r>
        <w:rPr>
          <w:rFonts w:hint="eastAsia" w:eastAsia="仿宋_GB2312"/>
          <w:sz w:val="30"/>
          <w:szCs w:val="30"/>
        </w:rPr>
        <w:t>具体情况如下：</w:t>
      </w:r>
    </w:p>
    <w:p>
      <w:pPr>
        <w:spacing w:line="600" w:lineRule="exact"/>
        <w:ind w:firstLine="602" w:firstLineChars="200"/>
        <w:rPr>
          <w:rFonts w:eastAsia="仿宋_GB2312"/>
          <w:b/>
          <w:bCs/>
          <w:sz w:val="30"/>
          <w:szCs w:val="30"/>
        </w:rPr>
      </w:pPr>
      <w:r>
        <w:rPr>
          <w:rFonts w:hint="eastAsia" w:eastAsia="仿宋_GB2312"/>
          <w:b/>
          <w:bCs/>
          <w:sz w:val="30"/>
          <w:szCs w:val="30"/>
        </w:rPr>
        <w:t>（一）部门预算安排及预算调整情况</w:t>
      </w:r>
    </w:p>
    <w:p>
      <w:pPr>
        <w:spacing w:line="600" w:lineRule="exact"/>
        <w:ind w:firstLine="600" w:firstLineChars="200"/>
        <w:rPr>
          <w:rFonts w:eastAsia="仿宋_GB2312"/>
          <w:sz w:val="30"/>
          <w:szCs w:val="30"/>
        </w:rPr>
      </w:pPr>
      <w:r>
        <w:rPr>
          <w:rFonts w:hint="eastAsia" w:eastAsia="仿宋_GB2312"/>
          <w:sz w:val="30"/>
          <w:szCs w:val="30"/>
        </w:rPr>
        <w:t>根据北京市财政局下发的《关于批复北京市顺义区人民法院2</w:t>
      </w:r>
      <w:r>
        <w:rPr>
          <w:rFonts w:eastAsia="仿宋_GB2312"/>
          <w:sz w:val="30"/>
          <w:szCs w:val="30"/>
        </w:rPr>
        <w:t>02</w:t>
      </w:r>
      <w:r>
        <w:rPr>
          <w:rFonts w:hint="eastAsia" w:eastAsia="仿宋_GB2312"/>
          <w:sz w:val="30"/>
          <w:szCs w:val="30"/>
        </w:rPr>
        <w:t>2年预算的函》（京财公检法指[</w:t>
      </w:r>
      <w:r>
        <w:rPr>
          <w:rFonts w:eastAsia="仿宋_GB2312"/>
          <w:sz w:val="30"/>
          <w:szCs w:val="30"/>
        </w:rPr>
        <w:t>202</w:t>
      </w:r>
      <w:r>
        <w:rPr>
          <w:rFonts w:hint="eastAsia" w:eastAsia="仿宋_GB2312"/>
          <w:sz w:val="30"/>
          <w:szCs w:val="30"/>
        </w:rPr>
        <w:t>2</w:t>
      </w:r>
      <w:r>
        <w:rPr>
          <w:rFonts w:eastAsia="仿宋_GB2312"/>
          <w:sz w:val="30"/>
          <w:szCs w:val="30"/>
        </w:rPr>
        <w:t>]</w:t>
      </w:r>
      <w:r>
        <w:rPr>
          <w:rFonts w:hint="eastAsia" w:eastAsia="仿宋_GB2312"/>
          <w:sz w:val="30"/>
          <w:szCs w:val="30"/>
        </w:rPr>
        <w:t>150号），部门预算资金安排如下：</w:t>
      </w:r>
    </w:p>
    <w:p>
      <w:pPr>
        <w:spacing w:line="600" w:lineRule="exact"/>
        <w:ind w:firstLine="600" w:firstLineChars="200"/>
        <w:rPr>
          <w:rFonts w:eastAsia="仿宋_GB2312"/>
          <w:sz w:val="30"/>
          <w:szCs w:val="30"/>
        </w:rPr>
      </w:pPr>
      <w:r>
        <w:rPr>
          <w:rFonts w:hint="eastAsia" w:eastAsia="仿宋_GB2312"/>
          <w:sz w:val="30"/>
          <w:szCs w:val="30"/>
        </w:rPr>
        <w:t>1、收入预算安排情况。收入预算安排 23,216.19万元。其中，北京市财政资金共19,674.13万元,均为一般公共预算拨款收入；非本级财政拨款区财政资金为3,542.06万元，其中，其他收入2,334.87万元，上年结转结余一般公共预算资金1,207.19万元。</w:t>
      </w:r>
    </w:p>
    <w:p>
      <w:pPr>
        <w:spacing w:line="600" w:lineRule="exact"/>
        <w:ind w:firstLine="600" w:firstLineChars="200"/>
        <w:rPr>
          <w:rFonts w:eastAsia="仿宋_GB2312"/>
          <w:sz w:val="30"/>
          <w:szCs w:val="30"/>
        </w:rPr>
      </w:pPr>
      <w:r>
        <w:rPr>
          <w:rFonts w:hint="eastAsia" w:eastAsia="仿宋_GB2312"/>
          <w:sz w:val="30"/>
          <w:szCs w:val="30"/>
        </w:rPr>
        <w:t>2、支出预算安排情况。支出预算安排 23,216.19万元，其中：基本支出 15,755.76万元，项目支出 7,460.43 万元。</w:t>
      </w:r>
    </w:p>
    <w:p>
      <w:pPr>
        <w:spacing w:line="600" w:lineRule="exact"/>
        <w:ind w:firstLine="600" w:firstLineChars="200"/>
        <w:rPr>
          <w:rFonts w:eastAsia="仿宋_GB2312"/>
          <w:sz w:val="30"/>
          <w:szCs w:val="30"/>
        </w:rPr>
      </w:pPr>
      <w:r>
        <w:rPr>
          <w:rFonts w:hint="eastAsia" w:eastAsia="仿宋_GB2312"/>
          <w:sz w:val="30"/>
          <w:szCs w:val="30"/>
        </w:rPr>
        <w:t>3、项目支出安排情况。项目支出 7,460.43万元，其中，一般公共预算拨款收入3,918.37万元，其他收入2,334.87万元，上年结转结余一般公共预算资金1,207.19万元，预算安排</w:t>
      </w:r>
      <w:r>
        <w:rPr>
          <w:rFonts w:eastAsia="仿宋_GB2312"/>
          <w:sz w:val="30"/>
          <w:szCs w:val="30"/>
        </w:rPr>
        <w:t>1</w:t>
      </w:r>
      <w:r>
        <w:rPr>
          <w:rFonts w:hint="eastAsia" w:eastAsia="仿宋_GB2312"/>
          <w:sz w:val="30"/>
          <w:szCs w:val="30"/>
        </w:rPr>
        <w:t>3个项目。</w:t>
      </w:r>
    </w:p>
    <w:p>
      <w:pPr>
        <w:spacing w:line="600" w:lineRule="exact"/>
        <w:ind w:firstLine="600" w:firstLineChars="200"/>
        <w:rPr>
          <w:rFonts w:eastAsia="仿宋_GB2312"/>
          <w:sz w:val="30"/>
          <w:szCs w:val="30"/>
        </w:rPr>
      </w:pPr>
      <w:r>
        <w:rPr>
          <w:rFonts w:hint="eastAsia" w:eastAsia="仿宋_GB2312"/>
          <w:sz w:val="30"/>
          <w:szCs w:val="30"/>
        </w:rPr>
        <w:t>4、“三公”经费预算安排。财政拨款安排“三公”经费预算168.18万元，其中：因公出国（境）费</w:t>
      </w:r>
      <w:r>
        <w:rPr>
          <w:rFonts w:eastAsia="仿宋_GB2312"/>
          <w:sz w:val="30"/>
          <w:szCs w:val="30"/>
        </w:rPr>
        <w:t>0.00</w:t>
      </w:r>
      <w:r>
        <w:rPr>
          <w:rFonts w:hint="eastAsia" w:eastAsia="仿宋_GB2312"/>
          <w:sz w:val="30"/>
          <w:szCs w:val="30"/>
        </w:rPr>
        <w:t>万元，公务接待费</w:t>
      </w:r>
      <w:r>
        <w:rPr>
          <w:rFonts w:eastAsia="仿宋_GB2312"/>
          <w:sz w:val="30"/>
          <w:szCs w:val="30"/>
        </w:rPr>
        <w:t>3.</w:t>
      </w:r>
      <w:r>
        <w:rPr>
          <w:rFonts w:hint="eastAsia" w:eastAsia="仿宋_GB2312"/>
          <w:sz w:val="30"/>
          <w:szCs w:val="30"/>
        </w:rPr>
        <w:t>00万元，公务用车购置费19.98万元，公务用车运行费</w:t>
      </w:r>
      <w:r>
        <w:rPr>
          <w:rFonts w:eastAsia="仿宋_GB2312"/>
          <w:sz w:val="30"/>
          <w:szCs w:val="30"/>
        </w:rPr>
        <w:t>1</w:t>
      </w:r>
      <w:r>
        <w:rPr>
          <w:rFonts w:hint="eastAsia" w:eastAsia="仿宋_GB2312"/>
          <w:sz w:val="30"/>
          <w:szCs w:val="30"/>
        </w:rPr>
        <w:t>45</w:t>
      </w:r>
      <w:r>
        <w:rPr>
          <w:rFonts w:eastAsia="仿宋_GB2312"/>
          <w:sz w:val="30"/>
          <w:szCs w:val="30"/>
        </w:rPr>
        <w:t>.</w:t>
      </w:r>
      <w:r>
        <w:rPr>
          <w:rFonts w:hint="eastAsia" w:eastAsia="仿宋_GB2312"/>
          <w:sz w:val="30"/>
          <w:szCs w:val="30"/>
        </w:rPr>
        <w:t>20万元。</w:t>
      </w:r>
    </w:p>
    <w:p>
      <w:pPr>
        <w:spacing w:line="600" w:lineRule="exact"/>
        <w:ind w:firstLine="600" w:firstLineChars="200"/>
        <w:rPr>
          <w:rFonts w:eastAsia="仿宋_GB2312"/>
          <w:sz w:val="30"/>
          <w:szCs w:val="30"/>
        </w:rPr>
      </w:pPr>
      <w:r>
        <w:rPr>
          <w:rFonts w:hint="eastAsia" w:eastAsia="仿宋_GB2312"/>
          <w:sz w:val="30"/>
          <w:szCs w:val="30"/>
        </w:rPr>
        <w:t>5、预算调整情况。2022年北京市财政资金共计调整1831.95万元，其中，追加预算金额2,794.29万元，核减预算金额962.34万元。具体详见表1。</w:t>
      </w:r>
    </w:p>
    <w:p>
      <w:pPr>
        <w:spacing w:line="600" w:lineRule="exact"/>
        <w:ind w:firstLine="560" w:firstLineChars="200"/>
        <w:jc w:val="center"/>
        <w:rPr>
          <w:rFonts w:eastAsia="仿宋_GB2312"/>
          <w:sz w:val="28"/>
          <w:szCs w:val="28"/>
        </w:rPr>
      </w:pPr>
      <w:r>
        <w:rPr>
          <w:rFonts w:hint="eastAsia" w:eastAsia="仿宋_GB2312"/>
          <w:sz w:val="28"/>
          <w:szCs w:val="28"/>
        </w:rPr>
        <w:t>表1：北京市财政资金预算调整情况表</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8"/>
        <w:gridCol w:w="3945"/>
        <w:gridCol w:w="3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08" w:type="dxa"/>
            <w:vAlign w:val="center"/>
          </w:tcPr>
          <w:p>
            <w:pPr>
              <w:spacing w:line="600" w:lineRule="exact"/>
              <w:jc w:val="center"/>
              <w:rPr>
                <w:rFonts w:eastAsia="仿宋_GB2312"/>
                <w:sz w:val="30"/>
                <w:szCs w:val="30"/>
              </w:rPr>
            </w:pPr>
            <w:r>
              <w:rPr>
                <w:rFonts w:hint="eastAsia" w:eastAsia="仿宋_GB2312"/>
                <w:sz w:val="30"/>
                <w:szCs w:val="30"/>
              </w:rPr>
              <w:t>序号</w:t>
            </w:r>
          </w:p>
        </w:tc>
        <w:tc>
          <w:tcPr>
            <w:tcW w:w="3945" w:type="dxa"/>
            <w:vAlign w:val="center"/>
          </w:tcPr>
          <w:p>
            <w:pPr>
              <w:spacing w:line="600" w:lineRule="exact"/>
              <w:jc w:val="center"/>
              <w:rPr>
                <w:rFonts w:eastAsia="仿宋_GB2312"/>
                <w:sz w:val="30"/>
                <w:szCs w:val="30"/>
              </w:rPr>
            </w:pPr>
            <w:r>
              <w:rPr>
                <w:rFonts w:hint="eastAsia" w:eastAsia="仿宋_GB2312"/>
                <w:sz w:val="30"/>
                <w:szCs w:val="30"/>
              </w:rPr>
              <w:t>预算调整批复文件号</w:t>
            </w:r>
          </w:p>
        </w:tc>
        <w:tc>
          <w:tcPr>
            <w:tcW w:w="3269" w:type="dxa"/>
            <w:vAlign w:val="center"/>
          </w:tcPr>
          <w:p>
            <w:pPr>
              <w:spacing w:line="600" w:lineRule="exact"/>
              <w:jc w:val="center"/>
              <w:rPr>
                <w:rFonts w:eastAsia="仿宋_GB2312"/>
                <w:sz w:val="30"/>
                <w:szCs w:val="30"/>
              </w:rPr>
            </w:pPr>
            <w:r>
              <w:rPr>
                <w:rFonts w:hint="eastAsia" w:eastAsia="仿宋_GB2312"/>
                <w:sz w:val="30"/>
                <w:szCs w:val="30"/>
              </w:rPr>
              <w:t>预算调整金额（万元）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08" w:type="dxa"/>
            <w:vAlign w:val="center"/>
          </w:tcPr>
          <w:p>
            <w:pPr>
              <w:spacing w:line="600" w:lineRule="exact"/>
              <w:jc w:val="center"/>
              <w:rPr>
                <w:rFonts w:eastAsia="仿宋_GB2312"/>
                <w:sz w:val="30"/>
                <w:szCs w:val="30"/>
              </w:rPr>
            </w:pPr>
            <w:r>
              <w:rPr>
                <w:rFonts w:hint="eastAsia" w:eastAsia="仿宋_GB2312"/>
                <w:sz w:val="30"/>
                <w:szCs w:val="30"/>
              </w:rPr>
              <w:t>1</w:t>
            </w:r>
          </w:p>
        </w:tc>
        <w:tc>
          <w:tcPr>
            <w:tcW w:w="3945" w:type="dxa"/>
            <w:vAlign w:val="center"/>
          </w:tcPr>
          <w:p>
            <w:pPr>
              <w:widowControl/>
              <w:jc w:val="center"/>
              <w:textAlignment w:val="center"/>
              <w:rPr>
                <w:rFonts w:eastAsia="仿宋_GB2312"/>
                <w:sz w:val="30"/>
                <w:szCs w:val="30"/>
              </w:rPr>
            </w:pPr>
            <w:r>
              <w:rPr>
                <w:rFonts w:hint="eastAsia" w:ascii="等线" w:hAnsi="等线" w:eastAsia="等线" w:cs="等线"/>
                <w:color w:val="000000"/>
                <w:kern w:val="0"/>
                <w:sz w:val="22"/>
                <w:szCs w:val="22"/>
                <w:lang w:bidi="ar"/>
              </w:rPr>
              <w:t>京财公检法指[2022]2536号</w:t>
            </w:r>
          </w:p>
        </w:tc>
        <w:tc>
          <w:tcPr>
            <w:tcW w:w="3269" w:type="dxa"/>
            <w:vAlign w:val="center"/>
          </w:tcPr>
          <w:p>
            <w:pPr>
              <w:widowControl/>
              <w:jc w:val="center"/>
              <w:textAlignment w:val="center"/>
              <w:rPr>
                <w:rFonts w:eastAsia="仿宋_GB2312"/>
                <w:sz w:val="30"/>
                <w:szCs w:val="30"/>
              </w:rPr>
            </w:pPr>
            <w:r>
              <w:rPr>
                <w:rFonts w:eastAsia="等线"/>
                <w:color w:val="000000"/>
                <w:kern w:val="0"/>
                <w:sz w:val="28"/>
                <w:szCs w:val="28"/>
                <w:lang w:bidi="ar"/>
              </w:rPr>
              <w:t>-261.30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08" w:type="dxa"/>
            <w:vAlign w:val="center"/>
          </w:tcPr>
          <w:p>
            <w:pPr>
              <w:spacing w:line="600" w:lineRule="exact"/>
              <w:jc w:val="center"/>
              <w:rPr>
                <w:rFonts w:eastAsia="仿宋_GB2312"/>
                <w:sz w:val="30"/>
                <w:szCs w:val="30"/>
              </w:rPr>
            </w:pPr>
            <w:r>
              <w:rPr>
                <w:rFonts w:hint="eastAsia" w:eastAsia="仿宋_GB2312"/>
                <w:sz w:val="30"/>
                <w:szCs w:val="30"/>
              </w:rPr>
              <w:t>2</w:t>
            </w:r>
          </w:p>
        </w:tc>
        <w:tc>
          <w:tcPr>
            <w:tcW w:w="3945" w:type="dxa"/>
            <w:vAlign w:val="center"/>
          </w:tcPr>
          <w:p>
            <w:pPr>
              <w:widowControl/>
              <w:jc w:val="center"/>
              <w:textAlignment w:val="center"/>
              <w:rPr>
                <w:rFonts w:eastAsia="仿宋_GB2312"/>
                <w:sz w:val="30"/>
                <w:szCs w:val="30"/>
              </w:rPr>
            </w:pPr>
            <w:r>
              <w:rPr>
                <w:rFonts w:hint="eastAsia" w:ascii="等线" w:hAnsi="等线" w:eastAsia="等线" w:cs="等线"/>
                <w:color w:val="000000"/>
                <w:kern w:val="0"/>
                <w:sz w:val="22"/>
                <w:szCs w:val="22"/>
                <w:lang w:bidi="ar"/>
              </w:rPr>
              <w:t>京财公检法指[2022]2820号</w:t>
            </w:r>
          </w:p>
        </w:tc>
        <w:tc>
          <w:tcPr>
            <w:tcW w:w="3269" w:type="dxa"/>
            <w:vAlign w:val="center"/>
          </w:tcPr>
          <w:p>
            <w:pPr>
              <w:widowControl/>
              <w:jc w:val="center"/>
              <w:textAlignment w:val="center"/>
              <w:rPr>
                <w:rFonts w:eastAsia="仿宋_GB2312"/>
                <w:sz w:val="30"/>
                <w:szCs w:val="30"/>
              </w:rPr>
            </w:pPr>
            <w:r>
              <w:rPr>
                <w:rFonts w:eastAsia="等线"/>
                <w:color w:val="000000"/>
                <w:kern w:val="0"/>
                <w:sz w:val="28"/>
                <w:szCs w:val="28"/>
                <w:lang w:bidi="ar"/>
              </w:rPr>
              <w:t>-137.39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08" w:type="dxa"/>
            <w:vAlign w:val="center"/>
          </w:tcPr>
          <w:p>
            <w:pPr>
              <w:spacing w:line="600" w:lineRule="exact"/>
              <w:jc w:val="center"/>
              <w:rPr>
                <w:rFonts w:eastAsia="仿宋_GB2312"/>
                <w:sz w:val="30"/>
                <w:szCs w:val="30"/>
              </w:rPr>
            </w:pPr>
            <w:r>
              <w:rPr>
                <w:rFonts w:hint="eastAsia" w:eastAsia="仿宋_GB2312"/>
                <w:sz w:val="30"/>
                <w:szCs w:val="30"/>
              </w:rPr>
              <w:t>3</w:t>
            </w:r>
          </w:p>
        </w:tc>
        <w:tc>
          <w:tcPr>
            <w:tcW w:w="3945" w:type="dxa"/>
            <w:vAlign w:val="center"/>
          </w:tcPr>
          <w:p>
            <w:pPr>
              <w:widowControl/>
              <w:jc w:val="center"/>
              <w:textAlignment w:val="center"/>
              <w:rPr>
                <w:rFonts w:eastAsia="仿宋_GB2312"/>
                <w:sz w:val="30"/>
                <w:szCs w:val="30"/>
              </w:rPr>
            </w:pPr>
            <w:r>
              <w:rPr>
                <w:rFonts w:hint="eastAsia" w:ascii="等线" w:hAnsi="等线" w:eastAsia="等线" w:cs="等线"/>
                <w:color w:val="000000"/>
                <w:kern w:val="0"/>
                <w:sz w:val="22"/>
                <w:szCs w:val="22"/>
                <w:lang w:bidi="ar"/>
              </w:rPr>
              <w:t>京财公检法指[2022]1738号</w:t>
            </w:r>
          </w:p>
        </w:tc>
        <w:tc>
          <w:tcPr>
            <w:tcW w:w="3269" w:type="dxa"/>
            <w:vAlign w:val="center"/>
          </w:tcPr>
          <w:p>
            <w:pPr>
              <w:widowControl/>
              <w:jc w:val="center"/>
              <w:textAlignment w:val="center"/>
              <w:rPr>
                <w:rFonts w:eastAsia="仿宋_GB2312"/>
                <w:sz w:val="30"/>
                <w:szCs w:val="30"/>
              </w:rPr>
            </w:pPr>
            <w:r>
              <w:rPr>
                <w:rFonts w:eastAsia="等线"/>
                <w:color w:val="000000"/>
                <w:kern w:val="0"/>
                <w:sz w:val="28"/>
                <w:szCs w:val="28"/>
                <w:lang w:bidi="ar"/>
              </w:rPr>
              <w:t>-11.00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08" w:type="dxa"/>
            <w:vAlign w:val="center"/>
          </w:tcPr>
          <w:p>
            <w:pPr>
              <w:spacing w:line="600" w:lineRule="exact"/>
              <w:jc w:val="center"/>
              <w:rPr>
                <w:rFonts w:eastAsia="仿宋_GB2312"/>
                <w:sz w:val="30"/>
                <w:szCs w:val="30"/>
              </w:rPr>
            </w:pPr>
            <w:r>
              <w:rPr>
                <w:rFonts w:hint="eastAsia" w:eastAsia="仿宋_GB2312"/>
                <w:sz w:val="30"/>
                <w:szCs w:val="30"/>
              </w:rPr>
              <w:t>4</w:t>
            </w:r>
          </w:p>
        </w:tc>
        <w:tc>
          <w:tcPr>
            <w:tcW w:w="3945" w:type="dxa"/>
            <w:vAlign w:val="center"/>
          </w:tcPr>
          <w:p>
            <w:pPr>
              <w:widowControl/>
              <w:jc w:val="center"/>
              <w:textAlignment w:val="center"/>
              <w:rPr>
                <w:rFonts w:eastAsia="仿宋_GB2312"/>
                <w:sz w:val="30"/>
                <w:szCs w:val="30"/>
              </w:rPr>
            </w:pPr>
            <w:r>
              <w:rPr>
                <w:rFonts w:hint="eastAsia" w:ascii="等线" w:hAnsi="等线" w:eastAsia="等线" w:cs="等线"/>
                <w:color w:val="000000"/>
                <w:kern w:val="0"/>
                <w:sz w:val="22"/>
                <w:szCs w:val="22"/>
                <w:lang w:bidi="ar"/>
              </w:rPr>
              <w:t>京财公检法指[2022]1862号</w:t>
            </w:r>
          </w:p>
        </w:tc>
        <w:tc>
          <w:tcPr>
            <w:tcW w:w="3269" w:type="dxa"/>
            <w:vAlign w:val="center"/>
          </w:tcPr>
          <w:p>
            <w:pPr>
              <w:widowControl/>
              <w:jc w:val="center"/>
              <w:textAlignment w:val="center"/>
              <w:rPr>
                <w:rFonts w:eastAsia="仿宋_GB2312"/>
                <w:sz w:val="30"/>
                <w:szCs w:val="30"/>
              </w:rPr>
            </w:pPr>
            <w:r>
              <w:rPr>
                <w:rFonts w:eastAsia="等线"/>
                <w:color w:val="000000"/>
                <w:kern w:val="0"/>
                <w:sz w:val="28"/>
                <w:szCs w:val="28"/>
                <w:lang w:bidi="ar"/>
              </w:rPr>
              <w:t>-552.64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08" w:type="dxa"/>
            <w:vAlign w:val="center"/>
          </w:tcPr>
          <w:p>
            <w:pPr>
              <w:spacing w:line="600" w:lineRule="exact"/>
              <w:jc w:val="center"/>
              <w:rPr>
                <w:rFonts w:eastAsia="仿宋_GB2312"/>
                <w:sz w:val="30"/>
                <w:szCs w:val="30"/>
              </w:rPr>
            </w:pPr>
            <w:r>
              <w:rPr>
                <w:rFonts w:hint="eastAsia" w:eastAsia="仿宋_GB2312"/>
                <w:sz w:val="30"/>
                <w:szCs w:val="30"/>
              </w:rPr>
              <w:t>5</w:t>
            </w:r>
          </w:p>
        </w:tc>
        <w:tc>
          <w:tcPr>
            <w:tcW w:w="3945" w:type="dxa"/>
            <w:vAlign w:val="center"/>
          </w:tcPr>
          <w:p>
            <w:pPr>
              <w:widowControl/>
              <w:jc w:val="center"/>
              <w:textAlignment w:val="center"/>
              <w:rPr>
                <w:rFonts w:eastAsia="仿宋_GB2312"/>
                <w:sz w:val="30"/>
                <w:szCs w:val="30"/>
              </w:rPr>
            </w:pPr>
            <w:r>
              <w:rPr>
                <w:rFonts w:hint="eastAsia" w:ascii="等线" w:hAnsi="等线" w:eastAsia="等线" w:cs="等线"/>
                <w:color w:val="000000"/>
                <w:kern w:val="0"/>
                <w:sz w:val="22"/>
                <w:szCs w:val="22"/>
                <w:lang w:bidi="ar"/>
              </w:rPr>
              <w:t>京财公检法指[2022]1862号</w:t>
            </w:r>
          </w:p>
        </w:tc>
        <w:tc>
          <w:tcPr>
            <w:tcW w:w="3269" w:type="dxa"/>
            <w:vAlign w:val="center"/>
          </w:tcPr>
          <w:p>
            <w:pPr>
              <w:widowControl/>
              <w:jc w:val="center"/>
              <w:textAlignment w:val="center"/>
              <w:rPr>
                <w:rFonts w:eastAsia="仿宋_GB2312"/>
                <w:sz w:val="30"/>
                <w:szCs w:val="30"/>
              </w:rPr>
            </w:pPr>
            <w:r>
              <w:rPr>
                <w:rFonts w:eastAsia="等线"/>
                <w:color w:val="000000"/>
                <w:kern w:val="0"/>
                <w:sz w:val="28"/>
                <w:szCs w:val="28"/>
                <w:lang w:bidi="ar"/>
              </w:rPr>
              <w:t>867.01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08" w:type="dxa"/>
            <w:vAlign w:val="center"/>
          </w:tcPr>
          <w:p>
            <w:pPr>
              <w:spacing w:line="600" w:lineRule="exact"/>
              <w:jc w:val="center"/>
              <w:rPr>
                <w:rFonts w:eastAsia="仿宋_GB2312"/>
                <w:sz w:val="30"/>
                <w:szCs w:val="30"/>
              </w:rPr>
            </w:pPr>
            <w:r>
              <w:rPr>
                <w:rFonts w:hint="eastAsia" w:eastAsia="仿宋_GB2312"/>
                <w:sz w:val="30"/>
                <w:szCs w:val="30"/>
              </w:rPr>
              <w:t>6</w:t>
            </w:r>
          </w:p>
        </w:tc>
        <w:tc>
          <w:tcPr>
            <w:tcW w:w="3945" w:type="dxa"/>
            <w:vAlign w:val="center"/>
          </w:tcPr>
          <w:p>
            <w:pPr>
              <w:widowControl/>
              <w:jc w:val="center"/>
              <w:textAlignment w:val="center"/>
              <w:rPr>
                <w:rFonts w:eastAsia="仿宋_GB2312"/>
                <w:sz w:val="30"/>
                <w:szCs w:val="30"/>
              </w:rPr>
            </w:pPr>
            <w:r>
              <w:rPr>
                <w:rFonts w:hint="eastAsia" w:ascii="等线" w:hAnsi="等线" w:eastAsia="等线" w:cs="等线"/>
                <w:color w:val="000000"/>
                <w:kern w:val="0"/>
                <w:sz w:val="22"/>
                <w:szCs w:val="22"/>
                <w:lang w:bidi="ar"/>
              </w:rPr>
              <w:t>京财经建指 [2022]1456 号</w:t>
            </w:r>
          </w:p>
        </w:tc>
        <w:tc>
          <w:tcPr>
            <w:tcW w:w="3269" w:type="dxa"/>
            <w:vAlign w:val="center"/>
          </w:tcPr>
          <w:p>
            <w:pPr>
              <w:widowControl/>
              <w:jc w:val="center"/>
              <w:textAlignment w:val="center"/>
              <w:rPr>
                <w:rFonts w:eastAsia="仿宋_GB2312"/>
                <w:sz w:val="30"/>
                <w:szCs w:val="30"/>
              </w:rPr>
            </w:pPr>
            <w:r>
              <w:rPr>
                <w:rFonts w:eastAsia="等线"/>
                <w:color w:val="000000"/>
                <w:kern w:val="0"/>
                <w:sz w:val="28"/>
                <w:szCs w:val="28"/>
                <w:lang w:bidi="ar"/>
              </w:rPr>
              <w:t>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08" w:type="dxa"/>
            <w:vAlign w:val="center"/>
          </w:tcPr>
          <w:p>
            <w:pPr>
              <w:spacing w:line="600" w:lineRule="exact"/>
              <w:jc w:val="center"/>
              <w:rPr>
                <w:rFonts w:eastAsia="仿宋_GB2312"/>
                <w:sz w:val="30"/>
                <w:szCs w:val="30"/>
              </w:rPr>
            </w:pPr>
            <w:r>
              <w:rPr>
                <w:rFonts w:hint="eastAsia" w:eastAsia="仿宋_GB2312"/>
                <w:sz w:val="30"/>
                <w:szCs w:val="30"/>
              </w:rPr>
              <w:t>7</w:t>
            </w:r>
          </w:p>
        </w:tc>
        <w:tc>
          <w:tcPr>
            <w:tcW w:w="3945" w:type="dxa"/>
            <w:vAlign w:val="center"/>
          </w:tcPr>
          <w:p>
            <w:pPr>
              <w:widowControl/>
              <w:jc w:val="center"/>
              <w:textAlignment w:val="center"/>
              <w:rPr>
                <w:rFonts w:eastAsia="仿宋_GB2312"/>
                <w:sz w:val="30"/>
                <w:szCs w:val="30"/>
              </w:rPr>
            </w:pPr>
            <w:r>
              <w:rPr>
                <w:rFonts w:hint="eastAsia" w:ascii="等线" w:hAnsi="等线" w:eastAsia="等线" w:cs="等线"/>
                <w:color w:val="000000"/>
                <w:kern w:val="0"/>
                <w:sz w:val="22"/>
                <w:szCs w:val="22"/>
                <w:lang w:bidi="ar"/>
              </w:rPr>
              <w:t>京财经建指 [2022]2041 号</w:t>
            </w:r>
          </w:p>
        </w:tc>
        <w:tc>
          <w:tcPr>
            <w:tcW w:w="3269" w:type="dxa"/>
            <w:vAlign w:val="center"/>
          </w:tcPr>
          <w:p>
            <w:pPr>
              <w:widowControl/>
              <w:jc w:val="center"/>
              <w:textAlignment w:val="center"/>
              <w:rPr>
                <w:rFonts w:eastAsia="仿宋_GB2312"/>
                <w:sz w:val="30"/>
                <w:szCs w:val="30"/>
              </w:rPr>
            </w:pPr>
            <w:r>
              <w:rPr>
                <w:rFonts w:eastAsia="等线"/>
                <w:color w:val="000000"/>
                <w:kern w:val="0"/>
                <w:sz w:val="28"/>
                <w:szCs w:val="28"/>
                <w:lang w:bidi="ar"/>
              </w:rPr>
              <w:t>600.00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08" w:type="dxa"/>
            <w:vAlign w:val="center"/>
          </w:tcPr>
          <w:p>
            <w:pPr>
              <w:spacing w:line="600" w:lineRule="exact"/>
              <w:jc w:val="center"/>
              <w:rPr>
                <w:rFonts w:eastAsia="仿宋_GB2312"/>
                <w:sz w:val="30"/>
                <w:szCs w:val="30"/>
              </w:rPr>
            </w:pPr>
            <w:r>
              <w:rPr>
                <w:rFonts w:hint="eastAsia" w:eastAsia="仿宋_GB2312"/>
                <w:sz w:val="30"/>
                <w:szCs w:val="30"/>
              </w:rPr>
              <w:t>8</w:t>
            </w:r>
          </w:p>
        </w:tc>
        <w:tc>
          <w:tcPr>
            <w:tcW w:w="3945" w:type="dxa"/>
            <w:vAlign w:val="center"/>
          </w:tcPr>
          <w:p>
            <w:pPr>
              <w:widowControl/>
              <w:jc w:val="center"/>
              <w:textAlignment w:val="center"/>
              <w:rPr>
                <w:rFonts w:eastAsia="仿宋_GB2312"/>
                <w:sz w:val="30"/>
                <w:szCs w:val="30"/>
              </w:rPr>
            </w:pPr>
            <w:r>
              <w:rPr>
                <w:rFonts w:hint="eastAsia" w:ascii="等线" w:hAnsi="等线" w:eastAsia="等线" w:cs="等线"/>
                <w:color w:val="000000"/>
                <w:kern w:val="0"/>
                <w:sz w:val="22"/>
                <w:szCs w:val="22"/>
                <w:lang w:bidi="ar"/>
              </w:rPr>
              <w:t>京财公检法指[2022]2819号</w:t>
            </w:r>
          </w:p>
        </w:tc>
        <w:tc>
          <w:tcPr>
            <w:tcW w:w="3269" w:type="dxa"/>
            <w:vAlign w:val="center"/>
          </w:tcPr>
          <w:p>
            <w:pPr>
              <w:widowControl/>
              <w:jc w:val="center"/>
              <w:textAlignment w:val="center"/>
              <w:rPr>
                <w:rFonts w:eastAsia="仿宋_GB2312"/>
                <w:sz w:val="30"/>
                <w:szCs w:val="30"/>
              </w:rPr>
            </w:pPr>
            <w:r>
              <w:rPr>
                <w:rFonts w:eastAsia="等线"/>
                <w:color w:val="000000"/>
                <w:kern w:val="0"/>
                <w:sz w:val="28"/>
                <w:szCs w:val="28"/>
                <w:lang w:bidi="ar"/>
              </w:rPr>
              <w:t>265.28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08" w:type="dxa"/>
            <w:vAlign w:val="center"/>
          </w:tcPr>
          <w:p>
            <w:pPr>
              <w:spacing w:line="600" w:lineRule="exact"/>
              <w:jc w:val="center"/>
              <w:rPr>
                <w:rFonts w:eastAsia="仿宋_GB2312"/>
                <w:sz w:val="30"/>
                <w:szCs w:val="30"/>
              </w:rPr>
            </w:pPr>
            <w:r>
              <w:rPr>
                <w:rFonts w:hint="eastAsia" w:eastAsia="仿宋_GB2312"/>
                <w:sz w:val="30"/>
                <w:szCs w:val="30"/>
              </w:rPr>
              <w:t>9</w:t>
            </w:r>
          </w:p>
        </w:tc>
        <w:tc>
          <w:tcPr>
            <w:tcW w:w="3945" w:type="dxa"/>
            <w:vAlign w:val="center"/>
          </w:tcPr>
          <w:p>
            <w:pPr>
              <w:widowControl/>
              <w:jc w:val="center"/>
              <w:textAlignment w:val="center"/>
              <w:rPr>
                <w:rFonts w:ascii="等线" w:hAnsi="等线" w:eastAsia="等线" w:cs="等线"/>
                <w:color w:val="000000"/>
                <w:kern w:val="0"/>
                <w:sz w:val="22"/>
                <w:szCs w:val="22"/>
                <w:lang w:bidi="ar"/>
              </w:rPr>
            </w:pPr>
            <w:r>
              <w:rPr>
                <w:rFonts w:hint="eastAsia" w:ascii="等线" w:hAnsi="等线" w:eastAsia="等线" w:cs="等线"/>
                <w:color w:val="000000"/>
                <w:kern w:val="0"/>
                <w:sz w:val="22"/>
                <w:szCs w:val="22"/>
                <w:lang w:bidi="ar"/>
              </w:rPr>
              <w:t>京财公检法指[2022]1443号</w:t>
            </w:r>
          </w:p>
        </w:tc>
        <w:tc>
          <w:tcPr>
            <w:tcW w:w="3269" w:type="dxa"/>
            <w:vAlign w:val="center"/>
          </w:tcPr>
          <w:p>
            <w:pPr>
              <w:widowControl/>
              <w:jc w:val="center"/>
              <w:textAlignment w:val="center"/>
              <w:rPr>
                <w:rFonts w:eastAsia="等线"/>
                <w:color w:val="000000"/>
                <w:kern w:val="0"/>
                <w:sz w:val="28"/>
                <w:szCs w:val="28"/>
                <w:lang w:bidi="ar"/>
              </w:rPr>
            </w:pPr>
            <w:r>
              <w:rPr>
                <w:rFonts w:eastAsia="等线"/>
                <w:color w:val="000000"/>
                <w:kern w:val="0"/>
                <w:sz w:val="28"/>
                <w:szCs w:val="28"/>
                <w:lang w:bidi="ar"/>
              </w:rPr>
              <w:t>562.00</w:t>
            </w:r>
          </w:p>
        </w:tc>
      </w:tr>
    </w:tbl>
    <w:p>
      <w:pPr>
        <w:spacing w:line="600" w:lineRule="exact"/>
        <w:ind w:firstLine="600" w:firstLineChars="200"/>
        <w:rPr>
          <w:rFonts w:eastAsia="仿宋_GB2312"/>
          <w:sz w:val="30"/>
          <w:szCs w:val="30"/>
        </w:rPr>
      </w:pPr>
      <w:r>
        <w:rPr>
          <w:rFonts w:hint="eastAsia" w:eastAsia="仿宋_GB2312"/>
          <w:sz w:val="30"/>
          <w:szCs w:val="30"/>
        </w:rPr>
        <w:t>2</w:t>
      </w:r>
      <w:r>
        <w:rPr>
          <w:rFonts w:eastAsia="仿宋_GB2312"/>
          <w:sz w:val="30"/>
          <w:szCs w:val="30"/>
        </w:rPr>
        <w:t>022</w:t>
      </w:r>
      <w:r>
        <w:rPr>
          <w:rFonts w:hint="eastAsia" w:eastAsia="仿宋_GB2312"/>
          <w:sz w:val="30"/>
          <w:szCs w:val="30"/>
        </w:rPr>
        <w:t>年度调整后预算总收入25,085.31</w:t>
      </w:r>
      <w:r>
        <w:rPr>
          <w:rFonts w:eastAsia="仿宋_GB2312"/>
          <w:sz w:val="30"/>
          <w:szCs w:val="30"/>
        </w:rPr>
        <w:t>万元</w:t>
      </w:r>
      <w:r>
        <w:rPr>
          <w:rFonts w:hint="eastAsia" w:eastAsia="仿宋_GB2312"/>
          <w:sz w:val="30"/>
          <w:szCs w:val="30"/>
        </w:rPr>
        <w:t>，调整后预算支出数23,747.73</w:t>
      </w:r>
      <w:r>
        <w:rPr>
          <w:rFonts w:eastAsia="仿宋_GB2312"/>
          <w:sz w:val="30"/>
          <w:szCs w:val="30"/>
        </w:rPr>
        <w:t>万元</w:t>
      </w:r>
      <w:r>
        <w:rPr>
          <w:rFonts w:hint="eastAsia" w:eastAsia="仿宋_GB2312"/>
          <w:sz w:val="30"/>
          <w:szCs w:val="30"/>
        </w:rPr>
        <w:t>，年末决算结余1,337.58 万元。</w:t>
      </w:r>
    </w:p>
    <w:p>
      <w:pPr>
        <w:spacing w:line="600" w:lineRule="exact"/>
        <w:ind w:firstLine="602" w:firstLineChars="200"/>
        <w:rPr>
          <w:rFonts w:eastAsia="仿宋_GB2312"/>
          <w:b/>
          <w:bCs/>
          <w:sz w:val="30"/>
          <w:szCs w:val="30"/>
        </w:rPr>
      </w:pPr>
      <w:r>
        <w:rPr>
          <w:rFonts w:hint="eastAsia" w:eastAsia="仿宋_GB2312"/>
          <w:b/>
          <w:bCs/>
          <w:sz w:val="30"/>
          <w:szCs w:val="30"/>
        </w:rPr>
        <w:t>（二）部门固定资产情况</w:t>
      </w:r>
    </w:p>
    <w:p>
      <w:pPr>
        <w:spacing w:line="600" w:lineRule="exact"/>
        <w:ind w:firstLine="600" w:firstLineChars="200"/>
        <w:rPr>
          <w:rFonts w:eastAsia="仿宋_GB2312"/>
          <w:sz w:val="30"/>
          <w:szCs w:val="30"/>
        </w:rPr>
      </w:pPr>
      <w:r>
        <w:rPr>
          <w:rFonts w:hint="eastAsia" w:eastAsia="仿宋_GB2312"/>
          <w:sz w:val="30"/>
          <w:szCs w:val="30"/>
        </w:rPr>
        <w:t>顺义法院办公用房及办公家具基本来源于单位采购。截止2</w:t>
      </w:r>
      <w:r>
        <w:rPr>
          <w:rFonts w:eastAsia="仿宋_GB2312"/>
          <w:sz w:val="30"/>
          <w:szCs w:val="30"/>
        </w:rPr>
        <w:t>02</w:t>
      </w:r>
      <w:r>
        <w:rPr>
          <w:rFonts w:hint="eastAsia" w:eastAsia="仿宋_GB2312"/>
          <w:sz w:val="30"/>
          <w:szCs w:val="30"/>
        </w:rPr>
        <w:t>2年底，顺义法院固定资产净值2,529.80万元。</w:t>
      </w:r>
    </w:p>
    <w:p>
      <w:pPr>
        <w:spacing w:line="600" w:lineRule="exact"/>
        <w:ind w:left="105" w:leftChars="50" w:firstLine="480" w:firstLineChars="150"/>
        <w:rPr>
          <w:rFonts w:eastAsia="黑体"/>
          <w:color w:val="000000"/>
          <w:kern w:val="0"/>
          <w:sz w:val="32"/>
          <w:szCs w:val="32"/>
        </w:rPr>
      </w:pPr>
      <w:r>
        <w:rPr>
          <w:rFonts w:eastAsia="黑体"/>
          <w:color w:val="000000"/>
          <w:kern w:val="0"/>
          <w:sz w:val="32"/>
          <w:szCs w:val="32"/>
        </w:rPr>
        <w:t>三、整体绩效目标实现情况</w:t>
      </w:r>
    </w:p>
    <w:p>
      <w:pPr>
        <w:spacing w:line="600" w:lineRule="exact"/>
        <w:ind w:firstLine="600" w:firstLineChars="200"/>
        <w:rPr>
          <w:rFonts w:eastAsia="仿宋_GB2312"/>
          <w:sz w:val="30"/>
          <w:szCs w:val="30"/>
        </w:rPr>
      </w:pPr>
      <w:r>
        <w:rPr>
          <w:rFonts w:hint="eastAsia" w:eastAsia="仿宋_GB2312"/>
          <w:sz w:val="30"/>
          <w:szCs w:val="30"/>
        </w:rPr>
        <w:t>顺义法院坚持以习近平新时代中国特色社会主义思想为指导，深入学习贯彻习近平法治思想，</w:t>
      </w:r>
      <w:bookmarkStart w:id="0" w:name="_Hlk135225372"/>
      <w:r>
        <w:rPr>
          <w:rFonts w:hint="eastAsia" w:eastAsia="仿宋_GB2312"/>
          <w:sz w:val="30"/>
          <w:szCs w:val="30"/>
        </w:rPr>
        <w:t>全面贯彻落实党的十九大、二十大和党的历次全会精神</w:t>
      </w:r>
      <w:bookmarkEnd w:id="0"/>
      <w:r>
        <w:rPr>
          <w:rFonts w:hint="eastAsia" w:eastAsia="仿宋_GB2312"/>
          <w:sz w:val="30"/>
          <w:szCs w:val="30"/>
        </w:rPr>
        <w:t>，认真贯彻意识形态责任制，认真贯彻落实中央政法工作会、市委政法工作会、区委政法工作会、全国高级法院院长会和全市法院院长会工作要求和任务部署，全面开展2022年各项工作任务，顺义法院依据自身工作职能，2022年产出指标可分为基本支出类及项目支出类。</w:t>
      </w:r>
    </w:p>
    <w:p>
      <w:pPr>
        <w:spacing w:line="600" w:lineRule="exact"/>
        <w:ind w:left="105" w:leftChars="50" w:firstLine="480" w:firstLineChars="150"/>
        <w:rPr>
          <w:rFonts w:eastAsia="楷体_GB2312"/>
          <w:sz w:val="32"/>
          <w:szCs w:val="32"/>
        </w:rPr>
      </w:pPr>
      <w:r>
        <w:rPr>
          <w:rFonts w:eastAsia="楷体_GB2312"/>
          <w:sz w:val="32"/>
          <w:szCs w:val="32"/>
        </w:rPr>
        <w:t>（一）产出完成情况分析</w:t>
      </w:r>
    </w:p>
    <w:p>
      <w:pPr>
        <w:spacing w:line="600" w:lineRule="exact"/>
        <w:ind w:firstLine="600" w:firstLineChars="200"/>
        <w:rPr>
          <w:rFonts w:eastAsia="仿宋_GB2312"/>
          <w:sz w:val="30"/>
          <w:szCs w:val="30"/>
        </w:rPr>
      </w:pPr>
      <w:r>
        <w:rPr>
          <w:rFonts w:eastAsia="仿宋_GB2312"/>
          <w:sz w:val="30"/>
          <w:szCs w:val="30"/>
        </w:rPr>
        <w:t>1.产出数量</w:t>
      </w:r>
      <w:r>
        <w:rPr>
          <w:rFonts w:hint="eastAsia" w:eastAsia="仿宋_GB2312"/>
          <w:sz w:val="30"/>
          <w:szCs w:val="30"/>
        </w:rPr>
        <w:t>完成情况</w:t>
      </w:r>
    </w:p>
    <w:p>
      <w:pPr>
        <w:spacing w:line="600" w:lineRule="exact"/>
        <w:ind w:firstLine="600" w:firstLineChars="200"/>
        <w:rPr>
          <w:rFonts w:eastAsia="仿宋_GB2312"/>
          <w:sz w:val="30"/>
          <w:szCs w:val="30"/>
        </w:rPr>
      </w:pPr>
      <w:r>
        <w:rPr>
          <w:rFonts w:hint="eastAsia" w:eastAsia="仿宋_GB2312"/>
          <w:sz w:val="30"/>
          <w:szCs w:val="30"/>
        </w:rPr>
        <w:t>2022年，在区委坚强领导、区人大及其常委会有力监督和上级法院正确指导下，顺义法院坚持以习近平新时代中国特色社会主义思想为指导，深入学习贯彻习近平法治思想，以迎接党的二十大胜利召开和学习宣传贯彻党的二十大精神为主线，坚持服务大局、司法为民、公正司法，克服极不寻常的困难和挑战，高效统筹疫情防控和审判执行工作，各项工作取得了新进展。</w:t>
      </w:r>
    </w:p>
    <w:p>
      <w:pPr>
        <w:spacing w:line="600" w:lineRule="exact"/>
        <w:ind w:firstLine="600" w:firstLineChars="200"/>
        <w:rPr>
          <w:rFonts w:eastAsia="仿宋_GB2312"/>
          <w:sz w:val="30"/>
          <w:szCs w:val="30"/>
        </w:rPr>
      </w:pPr>
      <w:r>
        <w:rPr>
          <w:rFonts w:hint="eastAsia" w:eastAsia="仿宋_GB2312"/>
          <w:sz w:val="30"/>
          <w:szCs w:val="30"/>
        </w:rPr>
        <w:t>全院新收案34511件，结案35168件，结收比101.9%，同比上升10.5个百分点，结案率87.39%，位列全市基层法院第3位，平均审执天数为64.32天，员额法官人均办案工作量351.7件，平均审执天数、民商事案件平均审理天数均位列全市基层法院第4位。全年审判执行文书数量：35407件，基本完成了基本项目支出指标。</w:t>
      </w:r>
    </w:p>
    <w:p>
      <w:pPr>
        <w:spacing w:line="600" w:lineRule="exact"/>
        <w:ind w:firstLine="600" w:firstLineChars="200"/>
        <w:rPr>
          <w:rFonts w:eastAsia="仿宋_GB2312"/>
          <w:sz w:val="30"/>
          <w:szCs w:val="30"/>
        </w:rPr>
      </w:pPr>
      <w:r>
        <w:rPr>
          <w:rFonts w:hint="eastAsia" w:eastAsia="仿宋_GB2312"/>
          <w:sz w:val="30"/>
          <w:szCs w:val="30"/>
        </w:rPr>
        <w:t>2</w:t>
      </w:r>
      <w:r>
        <w:rPr>
          <w:rFonts w:eastAsia="仿宋_GB2312"/>
          <w:sz w:val="30"/>
          <w:szCs w:val="30"/>
        </w:rPr>
        <w:t>02</w:t>
      </w:r>
      <w:r>
        <w:rPr>
          <w:rFonts w:hint="eastAsia" w:eastAsia="仿宋_GB2312"/>
          <w:sz w:val="30"/>
          <w:szCs w:val="30"/>
        </w:rPr>
        <w:t>2年，顺义法院项目支出31个，其中包括：一般公共服务项目2个，公共安全支出项目21个，文化旅游体育与传媒支出项目1个，城乡社区支出项目6个，援助其他地区支出项目1个。实际完成17个，未完成14个，涉及项目主要为：顺义区人民法院牛栏山人民法庭、顺义区人民法院李遂人民法庭项目等。主要原因是：2</w:t>
      </w:r>
      <w:r>
        <w:rPr>
          <w:rFonts w:eastAsia="仿宋_GB2312"/>
          <w:sz w:val="30"/>
          <w:szCs w:val="30"/>
        </w:rPr>
        <w:t>02</w:t>
      </w:r>
      <w:r>
        <w:rPr>
          <w:rFonts w:hint="eastAsia" w:eastAsia="仿宋_GB2312"/>
          <w:sz w:val="30"/>
          <w:szCs w:val="30"/>
        </w:rPr>
        <w:t>2年</w:t>
      </w:r>
      <w:r>
        <w:rPr>
          <w:rFonts w:hint="eastAsia" w:eastAsia="仿宋_GB2312"/>
          <w:sz w:val="30"/>
          <w:szCs w:val="30"/>
          <w:lang w:val="en-US" w:eastAsia="zh-CN"/>
        </w:rPr>
        <w:t>疫情原因，法庭建设项目施工手续等资料无法及时上报相关管理部门，导致</w:t>
      </w:r>
      <w:r>
        <w:rPr>
          <w:rFonts w:hint="eastAsia" w:eastAsia="仿宋_GB2312"/>
          <w:sz w:val="30"/>
          <w:szCs w:val="30"/>
        </w:rPr>
        <w:t>拆迁及工程建设延期开工</w:t>
      </w:r>
      <w:r>
        <w:rPr>
          <w:rFonts w:hint="eastAsia" w:eastAsia="仿宋_GB2312"/>
          <w:sz w:val="30"/>
          <w:szCs w:val="30"/>
          <w:lang w:eastAsia="zh-CN"/>
        </w:rPr>
        <w:t>，</w:t>
      </w:r>
      <w:r>
        <w:rPr>
          <w:rFonts w:hint="eastAsia" w:eastAsia="仿宋_GB2312"/>
          <w:sz w:val="30"/>
          <w:szCs w:val="30"/>
        </w:rPr>
        <w:t>款项结余结转下年继续使用。</w:t>
      </w:r>
    </w:p>
    <w:p>
      <w:pPr>
        <w:spacing w:line="600" w:lineRule="exact"/>
        <w:ind w:firstLine="600" w:firstLineChars="200"/>
        <w:rPr>
          <w:rFonts w:eastAsia="仿宋_GB2312"/>
          <w:sz w:val="30"/>
          <w:szCs w:val="30"/>
        </w:rPr>
      </w:pPr>
      <w:r>
        <w:rPr>
          <w:rFonts w:eastAsia="仿宋_GB2312"/>
          <w:sz w:val="30"/>
          <w:szCs w:val="30"/>
        </w:rPr>
        <w:t>2.产出质量</w:t>
      </w:r>
    </w:p>
    <w:p>
      <w:pPr>
        <w:spacing w:line="600" w:lineRule="exact"/>
        <w:ind w:firstLine="600" w:firstLineChars="200"/>
        <w:rPr>
          <w:rFonts w:eastAsia="仿宋_GB2312"/>
          <w:sz w:val="30"/>
          <w:szCs w:val="30"/>
        </w:rPr>
      </w:pPr>
      <w:r>
        <w:rPr>
          <w:rFonts w:hint="eastAsia" w:eastAsia="仿宋_GB2312"/>
          <w:sz w:val="30"/>
          <w:szCs w:val="30"/>
        </w:rPr>
        <w:t>顺义法院全面落实司法责任制，以目标化管理为抓手，推进案件全流程精细化管理，加大对各类不规范不严格司法行为的评查定错、纠治整改、问责追责力度，</w:t>
      </w:r>
      <w:r>
        <w:rPr>
          <w:rFonts w:hint="eastAsia" w:eastAsia="仿宋_GB2312"/>
          <w:sz w:val="30"/>
          <w:szCs w:val="30"/>
          <w:lang w:eastAsia="zh-CN"/>
        </w:rPr>
        <w:t>强化</w:t>
      </w:r>
      <w:bookmarkStart w:id="3" w:name="_GoBack"/>
      <w:bookmarkEnd w:id="3"/>
      <w:r>
        <w:rPr>
          <w:rFonts w:hint="eastAsia" w:eastAsia="仿宋_GB2312"/>
          <w:color w:val="auto"/>
          <w:sz w:val="30"/>
          <w:szCs w:val="30"/>
        </w:rPr>
        <w:t>“</w:t>
      </w:r>
      <w:r>
        <w:rPr>
          <w:rFonts w:eastAsia="仿宋_GB2312"/>
          <w:sz w:val="30"/>
          <w:szCs w:val="30"/>
        </w:rPr>
        <w:t>一个纠纷一个案件</w:t>
      </w:r>
      <w:r>
        <w:rPr>
          <w:rFonts w:hint="eastAsia" w:eastAsia="仿宋_GB2312"/>
          <w:sz w:val="30"/>
          <w:szCs w:val="30"/>
        </w:rPr>
        <w:t>”</w:t>
      </w:r>
      <w:r>
        <w:rPr>
          <w:rFonts w:eastAsia="仿宋_GB2312"/>
          <w:sz w:val="30"/>
          <w:szCs w:val="30"/>
        </w:rPr>
        <w:t>理念</w:t>
      </w:r>
      <w:r>
        <w:rPr>
          <w:rFonts w:hint="eastAsia" w:eastAsia="仿宋_GB2312"/>
          <w:sz w:val="30"/>
          <w:szCs w:val="30"/>
        </w:rPr>
        <w:t>。持续释放“多元调解+速裁”工作机制效能，2022年区诉前人民调解委员会揭牌成立，实现了全区593家镇、村基层人民调解委员会解纷力量全吸纳。</w:t>
      </w:r>
      <w:r>
        <w:rPr>
          <w:rFonts w:eastAsia="仿宋_GB2312"/>
          <w:sz w:val="30"/>
          <w:szCs w:val="30"/>
        </w:rPr>
        <w:t>创新探索</w:t>
      </w:r>
      <w:r>
        <w:rPr>
          <w:rFonts w:hint="eastAsia" w:eastAsia="仿宋_GB2312"/>
          <w:sz w:val="30"/>
          <w:szCs w:val="30"/>
        </w:rPr>
        <w:t>了“</w:t>
      </w:r>
      <w:r>
        <w:rPr>
          <w:rFonts w:eastAsia="仿宋_GB2312"/>
          <w:sz w:val="30"/>
          <w:szCs w:val="30"/>
        </w:rPr>
        <w:t>和顺共治</w:t>
      </w:r>
      <w:r>
        <w:rPr>
          <w:rFonts w:hint="eastAsia" w:eastAsia="仿宋_GB2312"/>
          <w:sz w:val="30"/>
          <w:szCs w:val="30"/>
        </w:rPr>
        <w:t>”</w:t>
      </w:r>
      <w:r>
        <w:rPr>
          <w:rFonts w:eastAsia="仿宋_GB2312"/>
          <w:sz w:val="30"/>
          <w:szCs w:val="30"/>
        </w:rPr>
        <w:t>诉源治理新路径，全区万人起诉率同比下降11.</w:t>
      </w:r>
      <w:r>
        <w:rPr>
          <w:rFonts w:hint="eastAsia" w:eastAsia="仿宋_GB2312"/>
          <w:sz w:val="30"/>
          <w:szCs w:val="30"/>
        </w:rPr>
        <w:t>96</w:t>
      </w:r>
      <w:r>
        <w:rPr>
          <w:rFonts w:eastAsia="仿宋_GB2312"/>
          <w:sz w:val="30"/>
          <w:szCs w:val="30"/>
        </w:rPr>
        <w:t>%</w:t>
      </w:r>
      <w:r>
        <w:rPr>
          <w:rFonts w:hint="eastAsia" w:eastAsia="仿宋_GB2312"/>
          <w:sz w:val="30"/>
          <w:szCs w:val="30"/>
        </w:rPr>
        <w:t>，使</w:t>
      </w:r>
      <w:r>
        <w:rPr>
          <w:rFonts w:eastAsia="仿宋_GB2312"/>
          <w:sz w:val="30"/>
          <w:szCs w:val="30"/>
        </w:rPr>
        <w:t>6</w:t>
      </w:r>
      <w:r>
        <w:rPr>
          <w:rFonts w:hint="eastAsia" w:eastAsia="仿宋_GB2312"/>
          <w:sz w:val="30"/>
          <w:szCs w:val="30"/>
        </w:rPr>
        <w:t>6</w:t>
      </w:r>
      <w:r>
        <w:rPr>
          <w:rFonts w:eastAsia="仿宋_GB2312"/>
          <w:sz w:val="30"/>
          <w:szCs w:val="30"/>
        </w:rPr>
        <w:t>%的民商事案件快速化解在诉讼前端，</w:t>
      </w:r>
      <w:r>
        <w:rPr>
          <w:rFonts w:hint="eastAsia" w:eastAsia="仿宋_GB2312"/>
          <w:sz w:val="30"/>
          <w:szCs w:val="30"/>
        </w:rPr>
        <w:t>相关做法</w:t>
      </w:r>
      <w:r>
        <w:rPr>
          <w:rFonts w:eastAsia="仿宋_GB2312"/>
          <w:sz w:val="30"/>
          <w:szCs w:val="30"/>
        </w:rPr>
        <w:t>获评北京法院第三届司法改革</w:t>
      </w:r>
      <w:r>
        <w:rPr>
          <w:rFonts w:hint="eastAsia" w:eastAsia="仿宋_GB2312"/>
          <w:sz w:val="30"/>
          <w:szCs w:val="30"/>
        </w:rPr>
        <w:t>“</w:t>
      </w:r>
      <w:r>
        <w:rPr>
          <w:rFonts w:eastAsia="仿宋_GB2312"/>
          <w:sz w:val="30"/>
          <w:szCs w:val="30"/>
        </w:rPr>
        <w:t>微创新</w:t>
      </w:r>
      <w:r>
        <w:rPr>
          <w:rFonts w:hint="eastAsia" w:eastAsia="仿宋_GB2312"/>
          <w:sz w:val="30"/>
          <w:szCs w:val="30"/>
        </w:rPr>
        <w:t>”</w:t>
      </w:r>
      <w:r>
        <w:rPr>
          <w:rFonts w:eastAsia="仿宋_GB2312"/>
          <w:sz w:val="30"/>
          <w:szCs w:val="30"/>
        </w:rPr>
        <w:t>最佳示范案例。</w:t>
      </w:r>
    </w:p>
    <w:p>
      <w:pPr>
        <w:spacing w:line="600" w:lineRule="exact"/>
        <w:ind w:firstLine="600" w:firstLineChars="200"/>
        <w:rPr>
          <w:rFonts w:eastAsia="仿宋_GB2312"/>
          <w:sz w:val="30"/>
          <w:szCs w:val="30"/>
        </w:rPr>
      </w:pPr>
      <w:r>
        <w:rPr>
          <w:rFonts w:hint="eastAsia" w:eastAsia="仿宋_GB2312"/>
          <w:sz w:val="30"/>
          <w:szCs w:val="30"/>
        </w:rPr>
        <w:t>2</w:t>
      </w:r>
      <w:r>
        <w:rPr>
          <w:rFonts w:eastAsia="仿宋_GB2312"/>
          <w:sz w:val="30"/>
          <w:szCs w:val="30"/>
        </w:rPr>
        <w:t>02</w:t>
      </w:r>
      <w:r>
        <w:rPr>
          <w:rFonts w:hint="eastAsia" w:eastAsia="仿宋_GB2312"/>
          <w:sz w:val="30"/>
          <w:szCs w:val="30"/>
        </w:rPr>
        <w:t>2年一审判决案件改判发回重审率（瑕疵）0.41%，裁判文书上网率：100%，案件投诉信访率：1.13%，一审案件服判息诉率84.15%，矛盾纠纷化解率65.57%。与年初绩效目标项目相比，均基本完成质量指标值。</w:t>
      </w:r>
    </w:p>
    <w:p>
      <w:pPr>
        <w:spacing w:line="600" w:lineRule="exact"/>
        <w:ind w:firstLine="600" w:firstLineChars="200"/>
        <w:rPr>
          <w:rFonts w:eastAsia="仿宋_GB2312"/>
          <w:sz w:val="30"/>
          <w:szCs w:val="30"/>
        </w:rPr>
      </w:pPr>
      <w:r>
        <w:rPr>
          <w:rFonts w:hint="eastAsia" w:eastAsia="仿宋_GB2312"/>
          <w:sz w:val="30"/>
          <w:szCs w:val="30"/>
        </w:rPr>
        <w:t>全年预算项目31个，截止目前，已完成项目17个，已完成项目能够较好的满足办公要求，各项配备完整，服务质量较好，基本符合验收要求。</w:t>
      </w:r>
    </w:p>
    <w:p>
      <w:pPr>
        <w:spacing w:line="600" w:lineRule="exact"/>
        <w:ind w:firstLine="600" w:firstLineChars="200"/>
        <w:rPr>
          <w:rFonts w:eastAsia="仿宋_GB2312"/>
          <w:sz w:val="30"/>
          <w:szCs w:val="30"/>
        </w:rPr>
      </w:pPr>
      <w:r>
        <w:rPr>
          <w:rFonts w:eastAsia="仿宋_GB2312"/>
          <w:sz w:val="30"/>
          <w:szCs w:val="30"/>
        </w:rPr>
        <w:t>3.产出进度</w:t>
      </w:r>
    </w:p>
    <w:p>
      <w:pPr>
        <w:spacing w:line="600" w:lineRule="exact"/>
        <w:ind w:firstLine="600" w:firstLineChars="200"/>
        <w:rPr>
          <w:rFonts w:eastAsia="仿宋_GB2312"/>
          <w:sz w:val="30"/>
          <w:szCs w:val="30"/>
        </w:rPr>
      </w:pPr>
      <w:r>
        <w:rPr>
          <w:rFonts w:hint="eastAsia" w:eastAsia="仿宋_GB2312"/>
          <w:sz w:val="30"/>
          <w:szCs w:val="30"/>
        </w:rPr>
        <w:t>2</w:t>
      </w:r>
      <w:r>
        <w:rPr>
          <w:rFonts w:eastAsia="仿宋_GB2312"/>
          <w:sz w:val="30"/>
          <w:szCs w:val="30"/>
        </w:rPr>
        <w:t>02</w:t>
      </w:r>
      <w:r>
        <w:rPr>
          <w:rFonts w:hint="eastAsia" w:eastAsia="仿宋_GB2312"/>
          <w:sz w:val="30"/>
          <w:szCs w:val="30"/>
        </w:rPr>
        <w:t>2年全院新收案34511件，结案35168件，结收比101.9%，顺义法院深入推进现代诉讼服务体系建设，深化“接诉即答”“接单即办”联系法官工作机制，推广使用12368诉讼服务热线，实现了联系法官到位率100%、反映事项办结率93.8%。同时，面对2022年疫情防控新形势新要求，大力推广智能化网上办案操作流程，累计网上立案14539件，网上缴费27480次，网上开庭32919件，语音识别生成庭审笔录1069次，当事人网上阅卷1663次，电子送达105370次，法定审限内结案率99.93%，全院案件电子送达覆盖率达到77.17%，最大程度减少疫情对审判执行工作带来的影响，很好的完成了年初设定的指标。</w:t>
      </w:r>
    </w:p>
    <w:p>
      <w:pPr>
        <w:spacing w:line="600" w:lineRule="exact"/>
        <w:ind w:firstLine="600" w:firstLineChars="200"/>
        <w:rPr>
          <w:rFonts w:eastAsia="仿宋_GB2312"/>
          <w:sz w:val="30"/>
          <w:szCs w:val="30"/>
        </w:rPr>
      </w:pPr>
      <w:r>
        <w:rPr>
          <w:rFonts w:eastAsia="仿宋_GB2312"/>
          <w:sz w:val="30"/>
          <w:szCs w:val="30"/>
        </w:rPr>
        <w:t>202</w:t>
      </w:r>
      <w:r>
        <w:rPr>
          <w:rFonts w:hint="eastAsia" w:eastAsia="仿宋_GB2312"/>
          <w:sz w:val="30"/>
          <w:szCs w:val="30"/>
        </w:rPr>
        <w:t>2年，已完成项目17个，未完成14个，其中“顺义区人民法院牛栏山人民法庭”等四个法庭建设项目因外部规划等原因未能如期完成。</w:t>
      </w:r>
    </w:p>
    <w:p>
      <w:pPr>
        <w:spacing w:line="600" w:lineRule="exact"/>
        <w:ind w:firstLine="600" w:firstLineChars="200"/>
        <w:rPr>
          <w:rFonts w:eastAsia="仿宋_GB2312"/>
          <w:sz w:val="30"/>
          <w:szCs w:val="30"/>
        </w:rPr>
      </w:pPr>
      <w:r>
        <w:rPr>
          <w:rFonts w:eastAsia="仿宋_GB2312"/>
          <w:sz w:val="30"/>
          <w:szCs w:val="30"/>
        </w:rPr>
        <w:t>4.产出成本</w:t>
      </w:r>
    </w:p>
    <w:p>
      <w:pPr>
        <w:spacing w:line="600" w:lineRule="exact"/>
        <w:ind w:firstLine="600" w:firstLineChars="200"/>
        <w:rPr>
          <w:rFonts w:eastAsia="仿宋_GB2312"/>
          <w:sz w:val="30"/>
          <w:szCs w:val="30"/>
        </w:rPr>
      </w:pPr>
      <w:r>
        <w:rPr>
          <w:rFonts w:hint="eastAsia" w:eastAsia="仿宋_GB2312"/>
          <w:sz w:val="30"/>
          <w:szCs w:val="30"/>
        </w:rPr>
        <w:t>在部门资金管理过程中，顺义法院按照《中华人民共和国会计法》、《中华人民共和国预算法》、《中华人民共和国政府采购法》、国家、地方有关财政法规和《</w:t>
      </w:r>
      <w:bookmarkStart w:id="1" w:name="_Toc91491353"/>
      <w:r>
        <w:rPr>
          <w:rFonts w:hint="eastAsia" w:eastAsia="仿宋_GB2312"/>
          <w:sz w:val="30"/>
          <w:szCs w:val="30"/>
        </w:rPr>
        <w:t>北京市顺义区人民法院内部控制制度财务管理制度</w:t>
      </w:r>
      <w:bookmarkEnd w:id="1"/>
      <w:r>
        <w:rPr>
          <w:rFonts w:hint="eastAsia" w:eastAsia="仿宋_GB2312"/>
          <w:sz w:val="30"/>
          <w:szCs w:val="30"/>
        </w:rPr>
        <w:t>》的有关规定，对部门的预算管理、支出管理、经费执行程序及审批权限、票据管理等方面的规定进行管理。按照专款专用的原则进行财务核算，严格控制三公经费支出，相对2022年年初预算，依据《2022年决算报表》，核减三公经费77.74万元,在项目支出方面，依据项目预算申报明细支出项目经费，严格按照项目管理流程进行成本控制工作，保障项目支出在预算控制数内，提升项目经费使用效率和效益。</w:t>
      </w:r>
    </w:p>
    <w:p>
      <w:pPr>
        <w:spacing w:line="600" w:lineRule="exact"/>
        <w:ind w:left="105" w:leftChars="50" w:firstLine="480" w:firstLineChars="150"/>
        <w:rPr>
          <w:rFonts w:eastAsia="楷体_GB2312"/>
          <w:sz w:val="32"/>
          <w:szCs w:val="32"/>
        </w:rPr>
      </w:pPr>
      <w:r>
        <w:rPr>
          <w:rFonts w:eastAsia="楷体_GB2312"/>
          <w:sz w:val="32"/>
          <w:szCs w:val="32"/>
        </w:rPr>
        <w:t>（二）效果实现情况分析</w:t>
      </w:r>
    </w:p>
    <w:p>
      <w:pPr>
        <w:spacing w:line="600" w:lineRule="exact"/>
        <w:ind w:firstLine="600" w:firstLineChars="200"/>
        <w:rPr>
          <w:rFonts w:eastAsia="仿宋_GB2312"/>
          <w:sz w:val="30"/>
          <w:szCs w:val="30"/>
        </w:rPr>
      </w:pPr>
      <w:r>
        <w:rPr>
          <w:rFonts w:eastAsia="仿宋_GB2312"/>
          <w:sz w:val="30"/>
          <w:szCs w:val="30"/>
        </w:rPr>
        <w:t>1.经济效益</w:t>
      </w:r>
    </w:p>
    <w:p>
      <w:pPr>
        <w:spacing w:line="600" w:lineRule="exact"/>
        <w:ind w:firstLine="600" w:firstLineChars="200"/>
        <w:rPr>
          <w:rFonts w:eastAsia="仿宋_GB2312"/>
          <w:sz w:val="30"/>
          <w:szCs w:val="30"/>
        </w:rPr>
      </w:pPr>
      <w:r>
        <w:rPr>
          <w:rFonts w:hint="eastAsia" w:eastAsia="仿宋_GB2312"/>
          <w:sz w:val="30"/>
          <w:szCs w:val="30"/>
        </w:rPr>
        <w:t>顺义法院扎实落实优化营商环境5.0版改革任务，为深化供给侧结构性改革、建设国际消费中心城市提供优质司法服务。强化平等保护产权和企业家合法权益，审慎采取涉企强制措施，依法维护公平、透明、可预期的市场秩序，积极促进我区打造创新产业集群示范区，有效激发和保护市场主体活力。</w:t>
      </w:r>
    </w:p>
    <w:p>
      <w:pPr>
        <w:spacing w:line="600" w:lineRule="exact"/>
        <w:ind w:firstLine="600" w:firstLineChars="200"/>
        <w:rPr>
          <w:rFonts w:eastAsia="仿宋_GB2312"/>
          <w:sz w:val="30"/>
          <w:szCs w:val="30"/>
        </w:rPr>
      </w:pPr>
      <w:r>
        <w:rPr>
          <w:rFonts w:hint="eastAsia" w:eastAsia="仿宋_GB2312"/>
          <w:sz w:val="30"/>
          <w:szCs w:val="30"/>
        </w:rPr>
        <w:t>护航辖区经济高质量发展。一是持续优化法治化营商环境。与区企促会共建“优化营商环境法官工作站”，打造“法院+商会”联动式商事纠纷多元化解机制，深度对接服务200余家民营企业。全流程降低企业诉讼成本，打出“政策引领、审慎保全、能动调解、协助调查、全程提速、精准普法”组合拳，民商事案件平均审理天数64.18天，首次执行案件平均用时缩短到68.71天，小额诉讼程序、简易程序总体适用率达85.54%，司法鉴定周期压缩至27天。二是服务保障“两区”建设。加强专业化审判，审理涉重点企业案件317件，助力航空服务、文化贸易等特色领域创新规范发展。发挥服务保障“两区”建设工作站靠前服务作用，面向产业园区及重点企业开展访企问需、法律指导、普法座谈等服务19次，为我区示范性打造特色园区注入司法动能。三是精准服务助企纾困。开辟拖欠中小微企业账款案件绿色通道，采取“以保促调”措施当庭实质促成和解，助力创新型小微治污企业在开庭后20日内快速回款150余万元。探索“活水养鱼促履行”新路径，慎用巧用强制执行措施，最大限度盘活经营资产，妥善执结新三板上市企业系列欠薪案，帮助小微涉农企业重获生机。</w:t>
      </w:r>
    </w:p>
    <w:p>
      <w:pPr>
        <w:spacing w:line="600" w:lineRule="exact"/>
        <w:ind w:firstLine="600" w:firstLineChars="200"/>
        <w:rPr>
          <w:rFonts w:eastAsia="仿宋_GB2312"/>
          <w:sz w:val="30"/>
          <w:szCs w:val="30"/>
        </w:rPr>
      </w:pPr>
      <w:r>
        <w:rPr>
          <w:rFonts w:eastAsia="仿宋_GB2312"/>
          <w:sz w:val="30"/>
          <w:szCs w:val="30"/>
        </w:rPr>
        <w:t>2.社会效益</w:t>
      </w:r>
    </w:p>
    <w:p>
      <w:pPr>
        <w:spacing w:line="600" w:lineRule="exact"/>
        <w:ind w:firstLine="600" w:firstLineChars="200"/>
        <w:rPr>
          <w:rFonts w:eastAsia="仿宋_GB2312"/>
          <w:sz w:val="30"/>
          <w:szCs w:val="30"/>
        </w:rPr>
      </w:pPr>
      <w:r>
        <w:rPr>
          <w:rFonts w:hint="eastAsia" w:eastAsia="仿宋_GB2312"/>
          <w:sz w:val="30"/>
          <w:szCs w:val="30"/>
        </w:rPr>
        <w:t>顺义法院深化为民品牌建设，“齐心送暖”解忧纾困润民心；“关爱女生 守护花开”不断丰富新内涵，获评北京市2022年“团建百强”品牌项目。创新探索“和顺共治”诉源治理新路径，全区万人起诉率同比下降11.96%，66%的民商事案件快速化解在诉讼前端，相关做法获评北京法院第三届司法改革“微创新”最佳示范案例。推动异地财产“翼处置”模式迭代升级，财产线索接转中心规范高效运转，全力兑现当事人胜诉权益。探索建立集约高效、多元解纷、智慧精准、交融共享的现代化诉讼服务体系，用解民忧、破难题的实际行动，让人民群众的司法获得感成色更足。</w:t>
      </w:r>
    </w:p>
    <w:p>
      <w:pPr>
        <w:spacing w:line="600" w:lineRule="exact"/>
        <w:ind w:firstLine="600" w:firstLineChars="200"/>
        <w:rPr>
          <w:rFonts w:eastAsia="仿宋_GB2312"/>
          <w:sz w:val="30"/>
          <w:szCs w:val="30"/>
        </w:rPr>
      </w:pPr>
      <w:r>
        <w:rPr>
          <w:rFonts w:eastAsia="仿宋_GB2312"/>
          <w:sz w:val="30"/>
          <w:szCs w:val="30"/>
        </w:rPr>
        <w:t>3.环境效益</w:t>
      </w:r>
    </w:p>
    <w:p>
      <w:pPr>
        <w:spacing w:line="600" w:lineRule="exact"/>
        <w:ind w:firstLine="600" w:firstLineChars="200"/>
        <w:rPr>
          <w:rFonts w:eastAsia="仿宋_GB2312"/>
          <w:sz w:val="30"/>
          <w:szCs w:val="30"/>
        </w:rPr>
      </w:pPr>
      <w:r>
        <w:rPr>
          <w:rFonts w:hint="eastAsia" w:eastAsia="仿宋_GB2312"/>
          <w:sz w:val="30"/>
          <w:szCs w:val="30"/>
        </w:rPr>
        <w:t>顺义法院2022年度深入贯彻“两山”理念。严厉打击破坏生态环境违法犯罪行为，依法审结非法处置废弃机油污染环境刑事附带民事公益诉讼案件3件8人。结合农村人居环境整治，加强农村耕地林地和生态环境司法保护，为推进区域协调发展、优化顺义新城空间布局提供高水平司法服务。</w:t>
      </w:r>
    </w:p>
    <w:p>
      <w:pPr>
        <w:spacing w:line="600" w:lineRule="exact"/>
        <w:ind w:firstLine="600" w:firstLineChars="200"/>
        <w:rPr>
          <w:rFonts w:eastAsia="仿宋_GB2312"/>
          <w:sz w:val="30"/>
          <w:szCs w:val="30"/>
        </w:rPr>
      </w:pPr>
      <w:r>
        <w:rPr>
          <w:rFonts w:eastAsia="仿宋_GB2312"/>
          <w:sz w:val="30"/>
          <w:szCs w:val="30"/>
        </w:rPr>
        <w:t>4.可持续性影响</w:t>
      </w:r>
    </w:p>
    <w:p>
      <w:pPr>
        <w:spacing w:line="600" w:lineRule="exact"/>
        <w:ind w:firstLine="600" w:firstLineChars="200"/>
        <w:rPr>
          <w:rFonts w:eastAsia="仿宋_GB2312"/>
          <w:sz w:val="30"/>
          <w:szCs w:val="30"/>
        </w:rPr>
      </w:pPr>
      <w:r>
        <w:rPr>
          <w:rFonts w:hint="eastAsia" w:eastAsia="仿宋_GB2312"/>
          <w:sz w:val="30"/>
          <w:szCs w:val="30"/>
        </w:rPr>
        <w:t>顺义法院在2022年创立了“1+3”全面从严管党治警协同保障机制，严格执行“三个规定”和新时代政法干警“十个严禁”，扎实开展司法作风专项整治，严肃开展问题线索查办和执纪问责，“违纪违法问题零发生年”建设目标基本实现，获评“北京市模范法院”荣誉称号，全年获评市级以上个人荣誉13项、集体荣誉9项，1名法官获评北京市审判业务专家，10名干警在北京法院两项业务技能比赛中获评标兵。同时，</w:t>
      </w:r>
      <w:r>
        <w:rPr>
          <w:rFonts w:eastAsia="仿宋_GB2312"/>
          <w:sz w:val="30"/>
          <w:szCs w:val="30"/>
        </w:rPr>
        <w:t>紧贴群众所思所想，持续擦亮</w:t>
      </w:r>
      <w:r>
        <w:rPr>
          <w:rFonts w:hint="eastAsia" w:eastAsia="仿宋_GB2312"/>
          <w:sz w:val="30"/>
          <w:szCs w:val="30"/>
        </w:rPr>
        <w:t>“</w:t>
      </w:r>
      <w:r>
        <w:rPr>
          <w:rFonts w:eastAsia="仿宋_GB2312"/>
          <w:sz w:val="30"/>
          <w:szCs w:val="30"/>
        </w:rPr>
        <w:t>顺法一分钟</w:t>
      </w:r>
      <w:r>
        <w:rPr>
          <w:rFonts w:hint="eastAsia" w:eastAsia="仿宋_GB2312"/>
          <w:sz w:val="30"/>
          <w:szCs w:val="30"/>
        </w:rPr>
        <w:t>”</w:t>
      </w:r>
      <w:r>
        <w:rPr>
          <w:rFonts w:eastAsia="仿宋_GB2312"/>
          <w:sz w:val="30"/>
          <w:szCs w:val="30"/>
        </w:rPr>
        <w:t>等普法品牌，依托区</w:t>
      </w:r>
      <w:r>
        <w:rPr>
          <w:rFonts w:hint="eastAsia" w:eastAsia="仿宋_GB2312"/>
          <w:sz w:val="30"/>
          <w:szCs w:val="30"/>
        </w:rPr>
        <w:t>“</w:t>
      </w:r>
      <w:r>
        <w:rPr>
          <w:rFonts w:eastAsia="仿宋_GB2312"/>
          <w:sz w:val="30"/>
          <w:szCs w:val="30"/>
        </w:rPr>
        <w:t>八五</w:t>
      </w:r>
      <w:r>
        <w:rPr>
          <w:rFonts w:hint="eastAsia" w:eastAsia="仿宋_GB2312"/>
          <w:sz w:val="30"/>
          <w:szCs w:val="30"/>
        </w:rPr>
        <w:t>”</w:t>
      </w:r>
      <w:r>
        <w:rPr>
          <w:rFonts w:eastAsia="仿宋_GB2312"/>
          <w:sz w:val="30"/>
          <w:szCs w:val="30"/>
        </w:rPr>
        <w:t>普法专栏等新媒体矩阵，创作精准性、有效性更强的普法作品，讲述吸引力、传播力更强的法治故事，塑造</w:t>
      </w:r>
      <w:r>
        <w:rPr>
          <w:rFonts w:hint="eastAsia" w:eastAsia="仿宋_GB2312"/>
          <w:sz w:val="30"/>
          <w:szCs w:val="30"/>
        </w:rPr>
        <w:t>了</w:t>
      </w:r>
      <w:r>
        <w:rPr>
          <w:rFonts w:eastAsia="仿宋_GB2312"/>
          <w:sz w:val="30"/>
          <w:szCs w:val="30"/>
        </w:rPr>
        <w:t>感染力、影响力更强的法院形象。</w:t>
      </w:r>
    </w:p>
    <w:p>
      <w:pPr>
        <w:spacing w:line="600" w:lineRule="exact"/>
        <w:ind w:firstLine="600" w:firstLineChars="200"/>
        <w:rPr>
          <w:rFonts w:eastAsia="仿宋_GB2312"/>
          <w:sz w:val="30"/>
          <w:szCs w:val="30"/>
        </w:rPr>
      </w:pPr>
      <w:r>
        <w:rPr>
          <w:rFonts w:eastAsia="仿宋_GB2312"/>
          <w:sz w:val="30"/>
          <w:szCs w:val="30"/>
        </w:rPr>
        <w:t>5.服务对象满意度</w:t>
      </w:r>
    </w:p>
    <w:p>
      <w:pPr>
        <w:spacing w:line="600" w:lineRule="exact"/>
        <w:ind w:firstLine="600" w:firstLineChars="200"/>
        <w:rPr>
          <w:rFonts w:eastAsia="仿宋_GB2312"/>
          <w:sz w:val="30"/>
          <w:szCs w:val="30"/>
        </w:rPr>
      </w:pPr>
      <w:r>
        <w:rPr>
          <w:rFonts w:hint="eastAsia" w:eastAsia="仿宋_GB2312"/>
          <w:sz w:val="30"/>
          <w:szCs w:val="30"/>
        </w:rPr>
        <w:t>北京市顺义区人民法院2022年度人大报告通过率为100%，实现法律效果和社会效果的统一，提升人民群众满意度。</w:t>
      </w:r>
    </w:p>
    <w:p>
      <w:pPr>
        <w:spacing w:line="600" w:lineRule="exact"/>
        <w:ind w:left="105" w:leftChars="50" w:firstLine="480" w:firstLineChars="150"/>
        <w:rPr>
          <w:rFonts w:eastAsia="黑体"/>
          <w:color w:val="000000"/>
          <w:kern w:val="0"/>
          <w:sz w:val="32"/>
          <w:szCs w:val="32"/>
        </w:rPr>
      </w:pPr>
      <w:r>
        <w:rPr>
          <w:rFonts w:eastAsia="黑体"/>
          <w:color w:val="000000"/>
          <w:kern w:val="0"/>
          <w:sz w:val="32"/>
          <w:szCs w:val="32"/>
        </w:rPr>
        <w:t>四、预算管理情况分析</w:t>
      </w:r>
    </w:p>
    <w:p>
      <w:pPr>
        <w:spacing w:line="600" w:lineRule="exact"/>
        <w:ind w:firstLine="602" w:firstLineChars="200"/>
        <w:rPr>
          <w:rFonts w:eastAsia="仿宋_GB2312"/>
          <w:b/>
          <w:bCs/>
          <w:sz w:val="30"/>
          <w:szCs w:val="30"/>
        </w:rPr>
      </w:pPr>
      <w:r>
        <w:rPr>
          <w:rFonts w:eastAsia="仿宋_GB2312"/>
          <w:b/>
          <w:bCs/>
          <w:sz w:val="30"/>
          <w:szCs w:val="30"/>
        </w:rPr>
        <w:t>（一）财务管理</w:t>
      </w:r>
    </w:p>
    <w:p>
      <w:pPr>
        <w:spacing w:line="600" w:lineRule="exact"/>
        <w:ind w:firstLine="600" w:firstLineChars="200"/>
        <w:rPr>
          <w:rFonts w:eastAsia="仿宋_GB2312"/>
          <w:sz w:val="30"/>
          <w:szCs w:val="30"/>
        </w:rPr>
      </w:pPr>
      <w:r>
        <w:rPr>
          <w:rFonts w:eastAsia="仿宋_GB2312"/>
          <w:sz w:val="30"/>
          <w:szCs w:val="30"/>
        </w:rPr>
        <w:t>1.财务管理制度健全性</w:t>
      </w:r>
    </w:p>
    <w:p>
      <w:pPr>
        <w:spacing w:line="600" w:lineRule="exact"/>
        <w:ind w:firstLine="600" w:firstLineChars="200"/>
        <w:rPr>
          <w:rFonts w:eastAsia="仿宋_GB2312"/>
          <w:sz w:val="30"/>
          <w:szCs w:val="30"/>
        </w:rPr>
      </w:pPr>
      <w:r>
        <w:rPr>
          <w:rFonts w:hint="eastAsia" w:eastAsia="仿宋_GB2312"/>
          <w:sz w:val="30"/>
          <w:szCs w:val="30"/>
        </w:rPr>
        <w:t>为确保财政资金的合理使用，提高资金的使用效益，顺义法院结合实施项目的具体情况，从财务管理制度建设、财务监督等方面严格控制资金，确保资金使用合理有效。顺义法院结合本单位实际情况，梳理各流程环节，完善制度机制，制定相应内控管理制度，分离不相容岗位，做到财务管理岗合理设置，对单位的预算控制、资金收支、资产管理、建设项目、政府采购等制定相应的、科学有效的内控制度，明确职责，指引实际工作，减少不必要的环节，提高管理监督力度。</w:t>
      </w:r>
    </w:p>
    <w:p>
      <w:pPr>
        <w:spacing w:line="600" w:lineRule="exact"/>
        <w:ind w:firstLine="600" w:firstLineChars="200"/>
        <w:rPr>
          <w:rFonts w:hint="eastAsia" w:eastAsia="仿宋_GB2312"/>
          <w:sz w:val="30"/>
          <w:szCs w:val="30"/>
        </w:rPr>
      </w:pPr>
      <w:r>
        <w:rPr>
          <w:rFonts w:hint="eastAsia" w:eastAsia="仿宋_GB2312"/>
          <w:sz w:val="30"/>
          <w:szCs w:val="30"/>
        </w:rPr>
        <w:t>顺义法院加强全面预算管理工作中的预算执行环节，重视财政资金预算执行情况的反馈，加强对预算执行的监督管理。第一，深入分析各项目预算，结合实际情况分解预算目标，准确标识财政预算资金的具体使用时间，规范预算执行流程。第二，加强监督，最大限度地避免出现不按预算进行工作导致出现财政资金超支或预算不足的情况。第三，对于预算执行过程中出现的预算超支情况，分析原因。</w:t>
      </w:r>
    </w:p>
    <w:p>
      <w:pPr>
        <w:spacing w:line="600" w:lineRule="exact"/>
        <w:ind w:firstLine="600" w:firstLineChars="200"/>
        <w:rPr>
          <w:rFonts w:eastAsia="仿宋_GB2312"/>
          <w:sz w:val="30"/>
          <w:szCs w:val="30"/>
        </w:rPr>
      </w:pPr>
      <w:r>
        <w:rPr>
          <w:rFonts w:eastAsia="仿宋_GB2312"/>
          <w:sz w:val="30"/>
          <w:szCs w:val="30"/>
        </w:rPr>
        <w:t>2.资金使用合规性和安全性</w:t>
      </w:r>
    </w:p>
    <w:p>
      <w:pPr>
        <w:spacing w:line="600" w:lineRule="exact"/>
        <w:ind w:firstLine="600" w:firstLineChars="200"/>
        <w:rPr>
          <w:rFonts w:eastAsia="仿宋_GB2312"/>
          <w:sz w:val="30"/>
          <w:szCs w:val="30"/>
        </w:rPr>
      </w:pPr>
      <w:r>
        <w:rPr>
          <w:rFonts w:hint="eastAsia" w:eastAsia="仿宋_GB2312"/>
          <w:sz w:val="30"/>
          <w:szCs w:val="30"/>
        </w:rPr>
        <w:t>顺义法院坚持树立对财务会计工作和内控制度建设的“第一责任主体”意识，加强对各部门的宣传和动员，将制度落实到相应部门，提高对内控制度的认识。同时严格按照预算批复做好预算执行工作，严格控制指因相关管理制度和政策措施不完善等，导致预算刚性不足、部分支出进度较慢、资金安全性和效益不高等的可能性。。</w:t>
      </w:r>
    </w:p>
    <w:p>
      <w:pPr>
        <w:spacing w:line="600" w:lineRule="exact"/>
        <w:ind w:firstLine="600" w:firstLineChars="200"/>
        <w:rPr>
          <w:rFonts w:eastAsia="仿宋_GB2312"/>
          <w:sz w:val="30"/>
          <w:szCs w:val="30"/>
        </w:rPr>
      </w:pPr>
      <w:r>
        <w:rPr>
          <w:rFonts w:eastAsia="仿宋_GB2312"/>
          <w:sz w:val="30"/>
          <w:szCs w:val="30"/>
        </w:rPr>
        <w:t>3.会计基础信息完善性</w:t>
      </w:r>
    </w:p>
    <w:p>
      <w:pPr>
        <w:spacing w:line="600" w:lineRule="exact"/>
        <w:ind w:firstLine="600" w:firstLineChars="200"/>
        <w:rPr>
          <w:rFonts w:eastAsia="仿宋_GB2312"/>
          <w:sz w:val="30"/>
          <w:szCs w:val="30"/>
        </w:rPr>
      </w:pPr>
      <w:r>
        <w:rPr>
          <w:rFonts w:hint="eastAsia" w:eastAsia="仿宋_GB2312"/>
          <w:sz w:val="30"/>
          <w:szCs w:val="30"/>
        </w:rPr>
        <w:t>顺义法院加强会计核算基本工作，保证会计资料真实、准确、完整，部门基础信息管理较好。</w:t>
      </w:r>
    </w:p>
    <w:p>
      <w:pPr>
        <w:spacing w:line="600" w:lineRule="exact"/>
        <w:ind w:firstLine="600" w:firstLineChars="200"/>
        <w:rPr>
          <w:rFonts w:eastAsia="仿宋_GB2312"/>
          <w:sz w:val="30"/>
          <w:szCs w:val="30"/>
        </w:rPr>
      </w:pPr>
      <w:r>
        <w:rPr>
          <w:rFonts w:hint="eastAsia" w:eastAsia="仿宋_GB2312"/>
          <w:sz w:val="30"/>
          <w:szCs w:val="30"/>
        </w:rPr>
        <w:t>顺义法院预算管理在制度建设上较为健全，部门公务接待、公务用车控制情况符合财政部门预算要求和相关管理制度要求。部门使用预算资金与相关的预算财务管理制度相符，符合国家财经法规和财务管理制度规定以及有关专项资金管理办法的规定。</w:t>
      </w:r>
    </w:p>
    <w:p>
      <w:pPr>
        <w:spacing w:line="600" w:lineRule="exact"/>
        <w:ind w:firstLine="602" w:firstLineChars="200"/>
        <w:rPr>
          <w:rFonts w:eastAsia="仿宋_GB2312"/>
          <w:b/>
          <w:bCs/>
          <w:sz w:val="30"/>
          <w:szCs w:val="30"/>
        </w:rPr>
      </w:pPr>
      <w:r>
        <w:rPr>
          <w:rFonts w:eastAsia="仿宋_GB2312"/>
          <w:b/>
          <w:bCs/>
          <w:sz w:val="30"/>
          <w:szCs w:val="30"/>
        </w:rPr>
        <w:t>（二）资产管理</w:t>
      </w:r>
    </w:p>
    <w:p>
      <w:pPr>
        <w:spacing w:line="600" w:lineRule="exact"/>
        <w:ind w:firstLine="600" w:firstLineChars="200"/>
        <w:rPr>
          <w:rFonts w:eastAsia="仿宋_GB2312"/>
          <w:sz w:val="30"/>
          <w:szCs w:val="30"/>
        </w:rPr>
      </w:pPr>
      <w:r>
        <w:rPr>
          <w:rFonts w:hint="eastAsia" w:eastAsia="仿宋_GB2312"/>
          <w:sz w:val="30"/>
          <w:szCs w:val="30"/>
        </w:rPr>
        <w:t>1、资产配置合理性</w:t>
      </w:r>
    </w:p>
    <w:p>
      <w:pPr>
        <w:spacing w:line="600" w:lineRule="exact"/>
        <w:ind w:firstLine="600" w:firstLineChars="200"/>
        <w:rPr>
          <w:rFonts w:eastAsia="仿宋_GB2312"/>
          <w:sz w:val="30"/>
          <w:szCs w:val="30"/>
        </w:rPr>
      </w:pPr>
      <w:r>
        <w:rPr>
          <w:rFonts w:hint="eastAsia" w:eastAsia="仿宋_GB2312"/>
          <w:sz w:val="30"/>
          <w:szCs w:val="30"/>
        </w:rPr>
        <w:t>顺义法院在固定资产的配置上，按照固定资产配置标准，将需要购置的固定资产一并纳入年度部门预算编制固定资产购置预算。</w:t>
      </w:r>
    </w:p>
    <w:p>
      <w:pPr>
        <w:spacing w:line="600" w:lineRule="exact"/>
        <w:ind w:firstLine="600" w:firstLineChars="200"/>
        <w:rPr>
          <w:rFonts w:eastAsia="仿宋_GB2312"/>
          <w:sz w:val="30"/>
          <w:szCs w:val="30"/>
        </w:rPr>
      </w:pPr>
      <w:r>
        <w:rPr>
          <w:rFonts w:hint="eastAsia" w:eastAsia="仿宋_GB2312"/>
          <w:sz w:val="30"/>
          <w:szCs w:val="30"/>
        </w:rPr>
        <w:t>2、资产使用规范性</w:t>
      </w:r>
    </w:p>
    <w:p>
      <w:pPr>
        <w:spacing w:line="600" w:lineRule="exact"/>
        <w:ind w:firstLine="600" w:firstLineChars="200"/>
        <w:rPr>
          <w:rFonts w:eastAsia="仿宋_GB2312"/>
          <w:sz w:val="30"/>
          <w:szCs w:val="30"/>
        </w:rPr>
      </w:pPr>
      <w:r>
        <w:rPr>
          <w:rFonts w:hint="eastAsia" w:eastAsia="仿宋_GB2312"/>
          <w:sz w:val="30"/>
          <w:szCs w:val="30"/>
        </w:rPr>
        <w:t>顺义法院不断加强固定资产管理，一是严格执行固定资产制度，设定固定资产管理人员。二是建立了固定资产动态管理机制，与财政实行资产管理动态连接，每月上报资产报表。三是定期进行固定资产清查。</w:t>
      </w:r>
    </w:p>
    <w:p>
      <w:pPr>
        <w:spacing w:line="600" w:lineRule="exact"/>
        <w:ind w:firstLine="600" w:firstLineChars="200"/>
        <w:rPr>
          <w:rFonts w:eastAsia="仿宋_GB2312"/>
          <w:sz w:val="30"/>
          <w:szCs w:val="30"/>
        </w:rPr>
      </w:pPr>
      <w:r>
        <w:rPr>
          <w:rFonts w:eastAsia="仿宋_GB2312"/>
          <w:sz w:val="30"/>
          <w:szCs w:val="30"/>
        </w:rPr>
        <w:t>3</w:t>
      </w:r>
      <w:r>
        <w:rPr>
          <w:rFonts w:hint="eastAsia" w:eastAsia="仿宋_GB2312"/>
          <w:sz w:val="30"/>
          <w:szCs w:val="30"/>
        </w:rPr>
        <w:t>、资产利用有效性</w:t>
      </w:r>
    </w:p>
    <w:p>
      <w:pPr>
        <w:spacing w:line="600" w:lineRule="exact"/>
        <w:ind w:firstLine="600" w:firstLineChars="200"/>
        <w:rPr>
          <w:rFonts w:eastAsia="仿宋_GB2312"/>
          <w:sz w:val="30"/>
          <w:szCs w:val="30"/>
        </w:rPr>
      </w:pPr>
      <w:r>
        <w:rPr>
          <w:rFonts w:hint="eastAsia" w:eastAsia="仿宋_GB2312"/>
          <w:sz w:val="30"/>
          <w:szCs w:val="30"/>
        </w:rPr>
        <w:t>顺义法院</w:t>
      </w:r>
      <w:r>
        <w:rPr>
          <w:rFonts w:eastAsia="仿宋_GB2312"/>
          <w:sz w:val="30"/>
          <w:szCs w:val="30"/>
        </w:rPr>
        <w:t>202</w:t>
      </w:r>
      <w:r>
        <w:rPr>
          <w:rFonts w:hint="eastAsia" w:eastAsia="仿宋_GB2312"/>
          <w:sz w:val="30"/>
          <w:szCs w:val="30"/>
        </w:rPr>
        <w:t>2年实际在用固定资产总额为13,525.36万元，固定资产成新率18.70%。</w:t>
      </w:r>
    </w:p>
    <w:p>
      <w:pPr>
        <w:spacing w:line="600" w:lineRule="exact"/>
        <w:ind w:firstLine="602" w:firstLineChars="200"/>
        <w:rPr>
          <w:rFonts w:eastAsia="仿宋_GB2312"/>
          <w:sz w:val="30"/>
          <w:szCs w:val="30"/>
        </w:rPr>
      </w:pPr>
      <w:r>
        <w:rPr>
          <w:rFonts w:eastAsia="仿宋_GB2312"/>
          <w:b/>
          <w:bCs/>
          <w:sz w:val="30"/>
          <w:szCs w:val="30"/>
        </w:rPr>
        <w:t>（三）绩效管理</w:t>
      </w:r>
    </w:p>
    <w:p>
      <w:pPr>
        <w:spacing w:line="600" w:lineRule="exact"/>
        <w:ind w:firstLine="600" w:firstLineChars="200"/>
        <w:rPr>
          <w:rFonts w:eastAsia="仿宋_GB2312"/>
          <w:sz w:val="30"/>
          <w:szCs w:val="30"/>
        </w:rPr>
      </w:pPr>
      <w:r>
        <w:rPr>
          <w:rFonts w:hint="eastAsia" w:eastAsia="仿宋_GB2312"/>
          <w:sz w:val="30"/>
          <w:szCs w:val="30"/>
        </w:rPr>
        <w:t>在2022年，顺义法院实施预算项目绩效目标管理工作，完善项目绩效管理责任，按照《北京市预算绩效管理办法》《北京市项目支出绩效评价管理办法》开展绩效评价工作，对绩效评价中发现的问题及时制定整改措施。根据绩效评价结果，改进管理工作，调整和优化本单位预算支出结构，合理配置资源。同时将绩效评价结果渗透到下一年预算编制工作中，从而促进加强预算支出管理和下年度预算编制工作。</w:t>
      </w:r>
    </w:p>
    <w:p>
      <w:pPr>
        <w:spacing w:line="600" w:lineRule="exact"/>
        <w:ind w:firstLine="602" w:firstLineChars="200"/>
        <w:rPr>
          <w:rFonts w:eastAsia="仿宋_GB2312"/>
          <w:b/>
          <w:bCs/>
          <w:sz w:val="30"/>
          <w:szCs w:val="30"/>
        </w:rPr>
      </w:pPr>
      <w:r>
        <w:rPr>
          <w:rFonts w:eastAsia="仿宋_GB2312"/>
          <w:b/>
          <w:bCs/>
          <w:sz w:val="30"/>
          <w:szCs w:val="30"/>
        </w:rPr>
        <w:t>（四）结转结余率</w:t>
      </w:r>
    </w:p>
    <w:p>
      <w:pPr>
        <w:spacing w:line="600" w:lineRule="exact"/>
        <w:ind w:firstLine="600" w:firstLineChars="200"/>
        <w:rPr>
          <w:rFonts w:eastAsia="仿宋_GB2312"/>
          <w:sz w:val="30"/>
          <w:szCs w:val="30"/>
        </w:rPr>
      </w:pPr>
      <w:r>
        <w:rPr>
          <w:rFonts w:hint="eastAsia" w:eastAsia="仿宋_GB2312"/>
          <w:sz w:val="30"/>
          <w:szCs w:val="30"/>
        </w:rPr>
        <w:t>顺义法院2</w:t>
      </w:r>
      <w:r>
        <w:rPr>
          <w:rFonts w:eastAsia="仿宋_GB2312"/>
          <w:sz w:val="30"/>
          <w:szCs w:val="30"/>
        </w:rPr>
        <w:t>02</w:t>
      </w:r>
      <w:r>
        <w:rPr>
          <w:rFonts w:hint="eastAsia" w:eastAsia="仿宋_GB2312"/>
          <w:sz w:val="30"/>
          <w:szCs w:val="30"/>
        </w:rPr>
        <w:t>2年结转和结余资金为1,337.58万元，结转结余率为</w:t>
      </w:r>
      <w:r>
        <w:rPr>
          <w:rFonts w:eastAsia="仿宋_GB2312"/>
          <w:sz w:val="30"/>
          <w:szCs w:val="30"/>
        </w:rPr>
        <w:t>5.33%</w:t>
      </w:r>
      <w:r>
        <w:rPr>
          <w:rFonts w:hint="eastAsia" w:eastAsia="仿宋_GB2312"/>
          <w:sz w:val="30"/>
          <w:szCs w:val="30"/>
        </w:rPr>
        <w:t>，低于上年结转结余率8.92%。</w:t>
      </w:r>
    </w:p>
    <w:p>
      <w:pPr>
        <w:spacing w:line="600" w:lineRule="exact"/>
        <w:ind w:firstLine="602" w:firstLineChars="200"/>
        <w:rPr>
          <w:rFonts w:eastAsia="仿宋_GB2312"/>
          <w:b/>
          <w:bCs/>
          <w:sz w:val="30"/>
          <w:szCs w:val="30"/>
        </w:rPr>
      </w:pPr>
      <w:r>
        <w:rPr>
          <w:rFonts w:eastAsia="仿宋_GB2312"/>
          <w:b/>
          <w:bCs/>
          <w:sz w:val="30"/>
          <w:szCs w:val="30"/>
        </w:rPr>
        <w:t>（五）</w:t>
      </w:r>
      <w:bookmarkStart w:id="2" w:name="_Hlk103169597"/>
      <w:r>
        <w:rPr>
          <w:rFonts w:eastAsia="仿宋_GB2312"/>
          <w:b/>
          <w:bCs/>
          <w:sz w:val="30"/>
          <w:szCs w:val="30"/>
        </w:rPr>
        <w:t>部门预决算差异率</w:t>
      </w:r>
      <w:bookmarkEnd w:id="2"/>
    </w:p>
    <w:p>
      <w:pPr>
        <w:spacing w:line="600" w:lineRule="exact"/>
        <w:ind w:firstLine="600" w:firstLineChars="200"/>
        <w:rPr>
          <w:rFonts w:eastAsia="仿宋_GB2312"/>
          <w:sz w:val="30"/>
          <w:szCs w:val="30"/>
        </w:rPr>
      </w:pPr>
      <w:r>
        <w:rPr>
          <w:rFonts w:hint="eastAsia" w:eastAsia="仿宋_GB2312"/>
          <w:sz w:val="30"/>
          <w:szCs w:val="30"/>
        </w:rPr>
        <w:t>顺义法院2</w:t>
      </w:r>
      <w:r>
        <w:rPr>
          <w:rFonts w:eastAsia="仿宋_GB2312"/>
          <w:sz w:val="30"/>
          <w:szCs w:val="30"/>
        </w:rPr>
        <w:t>02</w:t>
      </w:r>
      <w:r>
        <w:rPr>
          <w:rFonts w:hint="eastAsia" w:eastAsia="仿宋_GB2312"/>
          <w:sz w:val="30"/>
          <w:szCs w:val="30"/>
        </w:rPr>
        <w:t>2年部门申报预算为23,216.19万元，执行决算为23,747.73万元，预决算差异率为</w:t>
      </w:r>
      <w:r>
        <w:rPr>
          <w:rFonts w:eastAsia="仿宋_GB2312"/>
          <w:sz w:val="30"/>
          <w:szCs w:val="30"/>
        </w:rPr>
        <w:t>2.29%</w:t>
      </w:r>
      <w:r>
        <w:rPr>
          <w:rFonts w:hint="eastAsia" w:eastAsia="仿宋_GB2312"/>
          <w:sz w:val="30"/>
          <w:szCs w:val="30"/>
        </w:rPr>
        <w:t>，低于全市平均差异率28.3%，整体执行情况较好。</w:t>
      </w:r>
    </w:p>
    <w:p>
      <w:pPr>
        <w:spacing w:line="600" w:lineRule="exact"/>
        <w:ind w:left="105" w:leftChars="50" w:firstLine="480" w:firstLineChars="150"/>
        <w:rPr>
          <w:rFonts w:eastAsia="黑体"/>
          <w:sz w:val="32"/>
          <w:szCs w:val="32"/>
        </w:rPr>
      </w:pPr>
      <w:r>
        <w:rPr>
          <w:rFonts w:eastAsia="黑体"/>
          <w:sz w:val="32"/>
          <w:szCs w:val="32"/>
        </w:rPr>
        <w:t>五、总体评价结论</w:t>
      </w:r>
    </w:p>
    <w:p>
      <w:pPr>
        <w:spacing w:line="600" w:lineRule="exact"/>
        <w:ind w:left="105" w:leftChars="50" w:firstLine="480" w:firstLineChars="150"/>
        <w:rPr>
          <w:rFonts w:eastAsia="仿宋_GB2312"/>
          <w:sz w:val="30"/>
          <w:szCs w:val="30"/>
        </w:rPr>
      </w:pPr>
      <w:r>
        <w:rPr>
          <w:rFonts w:eastAsia="楷体_GB2312"/>
          <w:sz w:val="32"/>
          <w:szCs w:val="32"/>
        </w:rPr>
        <w:t>（一）评价得分情况</w:t>
      </w:r>
    </w:p>
    <w:p>
      <w:pPr>
        <w:spacing w:line="600" w:lineRule="exact"/>
        <w:ind w:firstLine="600" w:firstLineChars="200"/>
        <w:rPr>
          <w:rFonts w:eastAsia="仿宋_GB2312"/>
          <w:sz w:val="30"/>
          <w:szCs w:val="30"/>
        </w:rPr>
      </w:pPr>
      <w:r>
        <w:rPr>
          <w:rFonts w:hint="eastAsia" w:eastAsia="仿宋_GB2312"/>
          <w:sz w:val="30"/>
          <w:szCs w:val="30"/>
        </w:rPr>
        <w:t>顺义法院2</w:t>
      </w:r>
      <w:r>
        <w:rPr>
          <w:rFonts w:eastAsia="仿宋_GB2312"/>
          <w:sz w:val="30"/>
          <w:szCs w:val="30"/>
        </w:rPr>
        <w:t>02</w:t>
      </w:r>
      <w:r>
        <w:rPr>
          <w:rFonts w:hint="eastAsia" w:eastAsia="仿宋_GB2312"/>
          <w:sz w:val="30"/>
          <w:szCs w:val="30"/>
        </w:rPr>
        <w:t>2年部门整体支出的执行符合目标申报表等相关内容，按照指标体系，部门整体绩效评价得分87.56分，其中：当年预算执行情况18.93分，整体绩效目标情况50.63分，预算管理情况18.00分，综合绩效评定结论为良好。</w:t>
      </w:r>
    </w:p>
    <w:p>
      <w:pPr>
        <w:spacing w:line="600" w:lineRule="exact"/>
        <w:ind w:left="105" w:leftChars="50" w:firstLine="480" w:firstLineChars="150"/>
        <w:rPr>
          <w:rFonts w:eastAsia="楷体_GB2312"/>
          <w:sz w:val="32"/>
          <w:szCs w:val="32"/>
        </w:rPr>
      </w:pPr>
      <w:r>
        <w:rPr>
          <w:rFonts w:eastAsia="楷体_GB2312"/>
          <w:sz w:val="32"/>
          <w:szCs w:val="32"/>
        </w:rPr>
        <w:t>（二）存在的问题及原因分析</w:t>
      </w:r>
    </w:p>
    <w:p>
      <w:pPr>
        <w:spacing w:line="600" w:lineRule="exact"/>
        <w:ind w:left="105" w:leftChars="50" w:firstLine="450" w:firstLineChars="150"/>
        <w:rPr>
          <w:rFonts w:eastAsia="仿宋_GB2312"/>
          <w:sz w:val="30"/>
          <w:szCs w:val="30"/>
        </w:rPr>
      </w:pPr>
      <w:r>
        <w:rPr>
          <w:rFonts w:hint="eastAsia" w:eastAsia="仿宋_GB2312"/>
          <w:sz w:val="30"/>
          <w:szCs w:val="30"/>
        </w:rPr>
        <w:t>顺义法院在申请2</w:t>
      </w:r>
      <w:r>
        <w:rPr>
          <w:rFonts w:eastAsia="仿宋_GB2312"/>
          <w:sz w:val="30"/>
          <w:szCs w:val="30"/>
        </w:rPr>
        <w:t>02</w:t>
      </w:r>
      <w:r>
        <w:rPr>
          <w:rFonts w:hint="eastAsia" w:eastAsia="仿宋_GB2312"/>
          <w:sz w:val="30"/>
          <w:szCs w:val="30"/>
        </w:rPr>
        <w:t>2年预算时，预算编制细化程度略有不足，2022年结转和结余资金为1,337.58万元，结转结余率为5.</w:t>
      </w:r>
      <w:r>
        <w:rPr>
          <w:rFonts w:eastAsia="仿宋_GB2312"/>
          <w:sz w:val="30"/>
          <w:szCs w:val="30"/>
        </w:rPr>
        <w:t>3</w:t>
      </w:r>
      <w:r>
        <w:rPr>
          <w:rFonts w:hint="eastAsia" w:eastAsia="仿宋_GB2312"/>
          <w:sz w:val="30"/>
          <w:szCs w:val="30"/>
        </w:rPr>
        <w:t>3%。除客观因素外，预算调增较多，支出进度无法按照项目预期开展，仍是预算执行有待进一步提高的重要方面。在效果方面，部门效益指标研究不足，设置缺乏可考核性，在部门效益评价结果对反映工作产出效果略有不足。</w:t>
      </w:r>
    </w:p>
    <w:p>
      <w:pPr>
        <w:rPr>
          <w:rFonts w:eastAsia="黑体"/>
          <w:color w:val="000000"/>
          <w:kern w:val="0"/>
          <w:sz w:val="32"/>
          <w:szCs w:val="32"/>
        </w:rPr>
      </w:pPr>
      <w:r>
        <w:rPr>
          <w:rFonts w:eastAsia="黑体"/>
          <w:color w:val="000000"/>
          <w:kern w:val="0"/>
          <w:sz w:val="32"/>
          <w:szCs w:val="32"/>
        </w:rPr>
        <w:t>六、措施建议</w:t>
      </w:r>
    </w:p>
    <w:p>
      <w:pPr>
        <w:spacing w:line="600" w:lineRule="exact"/>
        <w:ind w:left="105" w:leftChars="50" w:firstLine="480" w:firstLineChars="150"/>
        <w:rPr>
          <w:rFonts w:eastAsia="楷体_GB2312"/>
          <w:sz w:val="32"/>
          <w:szCs w:val="32"/>
        </w:rPr>
      </w:pPr>
      <w:r>
        <w:rPr>
          <w:rFonts w:eastAsia="楷体_GB2312"/>
          <w:sz w:val="32"/>
          <w:szCs w:val="32"/>
        </w:rPr>
        <w:t>（一）</w:t>
      </w:r>
      <w:r>
        <w:rPr>
          <w:rFonts w:hint="eastAsia" w:eastAsia="楷体_GB2312"/>
          <w:sz w:val="32"/>
          <w:szCs w:val="32"/>
        </w:rPr>
        <w:t>整改措施</w:t>
      </w:r>
    </w:p>
    <w:p>
      <w:pPr>
        <w:spacing w:line="600" w:lineRule="exact"/>
        <w:ind w:firstLine="600" w:firstLineChars="200"/>
        <w:rPr>
          <w:rFonts w:eastAsia="仿宋_GB2312"/>
          <w:sz w:val="30"/>
          <w:szCs w:val="30"/>
        </w:rPr>
      </w:pPr>
      <w:r>
        <w:rPr>
          <w:rFonts w:hint="eastAsia" w:eastAsia="仿宋_GB2312"/>
          <w:sz w:val="30"/>
          <w:szCs w:val="30"/>
        </w:rPr>
        <w:t>建议顺义法院各部门结合部门预算，统筹安排，各部门要依法行政、依法理财的高度认真执行预算，完善内部预算管理及监督机制，进一步提升预算资金使用得规范性、时效性和效益性。</w:t>
      </w:r>
    </w:p>
    <w:p>
      <w:pPr>
        <w:spacing w:line="600" w:lineRule="exact"/>
        <w:ind w:left="105" w:leftChars="50" w:firstLine="480" w:firstLineChars="150"/>
        <w:rPr>
          <w:rFonts w:eastAsia="楷体_GB2312"/>
          <w:sz w:val="32"/>
          <w:szCs w:val="32"/>
        </w:rPr>
      </w:pPr>
      <w:r>
        <w:rPr>
          <w:rFonts w:eastAsia="楷体_GB2312"/>
          <w:sz w:val="32"/>
          <w:szCs w:val="32"/>
        </w:rPr>
        <w:t>（</w:t>
      </w:r>
      <w:r>
        <w:rPr>
          <w:rFonts w:hint="eastAsia" w:eastAsia="楷体_GB2312"/>
          <w:sz w:val="32"/>
          <w:szCs w:val="32"/>
        </w:rPr>
        <w:t>二</w:t>
      </w:r>
      <w:r>
        <w:rPr>
          <w:rFonts w:eastAsia="楷体_GB2312"/>
          <w:sz w:val="32"/>
          <w:szCs w:val="32"/>
        </w:rPr>
        <w:t>）</w:t>
      </w:r>
      <w:r>
        <w:rPr>
          <w:rFonts w:hint="eastAsia" w:eastAsia="楷体_GB2312"/>
          <w:sz w:val="32"/>
          <w:szCs w:val="32"/>
        </w:rPr>
        <w:t>下一步工作举措</w:t>
      </w:r>
    </w:p>
    <w:p>
      <w:pPr>
        <w:spacing w:line="600" w:lineRule="exact"/>
        <w:ind w:firstLine="600" w:firstLineChars="200"/>
        <w:rPr>
          <w:rFonts w:eastAsia="仿宋_GB2312"/>
          <w:sz w:val="30"/>
          <w:szCs w:val="30"/>
        </w:rPr>
      </w:pPr>
      <w:r>
        <w:rPr>
          <w:rFonts w:hint="eastAsia" w:eastAsia="仿宋_GB2312"/>
          <w:sz w:val="30"/>
          <w:szCs w:val="30"/>
        </w:rPr>
        <w:t>面对新形势新任务新要求，2023年顺义法院工作的总体思路是：坚持以习近平新时代中国特色社会主义思想为指导，深入学习贯彻习近平法治思想，深入贯彻党的二十大精神和习近平总书记对政法工作重要指示精神，全面贯彻落实中央及市委政法工作会议、第二十二次全国法院工作会议、全国高级法院院长会、全市法院院长会议和市委、区委部署要求，深刻领悟“两个确立”的决定性意义，增强“四个意识”、坚定“四个自信”、做到“两个维护”，坚持党对法院工作的绝对领导，坚持稳中求进工作总基调，坚持服务大局、司法为民、公正司法，坚持守正创新、深化改革、高质量发展，坚持发扬斗争精神、勇于自我革命、锻造过硬队伍，奋力推进思想观念现代化、工作体系现代化、司法能力现代化，努力让人民群众在每一个司法案件中感受到公平正义，努力实现始终走在全市法院前列的目标，为我区率先基本建成社会主义现代化平原新城、为首都率先基本实现社会主义现代化提供坚实的司法服务和保障。</w:t>
      </w:r>
    </w:p>
    <w:p>
      <w:pPr>
        <w:spacing w:line="600" w:lineRule="exact"/>
        <w:ind w:firstLine="600" w:firstLineChars="200"/>
        <w:rPr>
          <w:rFonts w:eastAsia="仿宋_GB2312"/>
          <w:sz w:val="30"/>
          <w:szCs w:val="30"/>
        </w:rPr>
      </w:pPr>
      <w:r>
        <w:rPr>
          <w:rFonts w:hint="eastAsia" w:eastAsia="仿宋_GB2312"/>
          <w:sz w:val="30"/>
          <w:szCs w:val="30"/>
        </w:rPr>
        <w:t>一是始终坚持将政治建设摆在首位，在学习贯彻党的二十大精神上下功夫。加强组织领导，切实做好党的二十大精神的学习宣传。坚持求真务实，全面准确学习领会党的二十大精神内涵。坚持党的绝对领导，贯彻落实好党的二十大作出的重大决策部署。要围绕学习贯彻党的二十大精神，尤其是二十大报告中关于坚持全面依法治国的重大部署，深入开展调查研究，认真抓好习近平法治思想专项课题的调研，推出一批高质量研究成果，为习近平法治思想北京市司法实践研究基地高水平运行贡献顺义力量。</w:t>
      </w:r>
    </w:p>
    <w:p>
      <w:pPr>
        <w:spacing w:line="600" w:lineRule="exact"/>
        <w:ind w:firstLine="600" w:firstLineChars="200"/>
        <w:rPr>
          <w:rFonts w:eastAsia="仿宋_GB2312"/>
          <w:sz w:val="30"/>
          <w:szCs w:val="30"/>
        </w:rPr>
      </w:pPr>
      <w:r>
        <w:rPr>
          <w:rFonts w:hint="eastAsia" w:eastAsia="仿宋_GB2312"/>
          <w:sz w:val="30"/>
          <w:szCs w:val="30"/>
        </w:rPr>
        <w:t>二是始终坚持围绕中心服务大局，在护航区域高质量发展上谋实效；聚焦保安全，以新安全格局保障新发展格局。区委提出今年将紧紧围绕平原新城看顺义和“两区”建设、高端制造、新城发展三个方面走在全市前列的目标要求，以服务新时代首都发展为统领，奋力推动经济社会高质量发展。同时，提升执行工作质效，确保今年“3+1”核心指标全部达标。全面落实终本案件办理规范，有效降低终本率。探索符合院情的财产线索接转运行模式，强化对财产线索的接收、登记、流转、监督、反馈全流程闭环管理。严格落实执行案款管理制度，细化案款提存、延缓发放的标准程序，充分发挥信息化功能，确保案款发放全程留痕、及时规范，坚决杜绝不及时、不规范发放案款问题。紧贴群众所思所想，持续擦亮“顺法一分钟”等普法品牌，依托区“八五”普法专栏等新媒体矩阵，创作精准性、有效性更强的普法作品，讲述吸引力、传播力更强的法治故事，塑造感染力、影响力更强的法院形象。</w:t>
      </w:r>
    </w:p>
    <w:p>
      <w:pPr>
        <w:spacing w:line="600" w:lineRule="exact"/>
        <w:ind w:firstLine="600" w:firstLineChars="200"/>
        <w:rPr>
          <w:rFonts w:eastAsia="仿宋_GB2312"/>
          <w:sz w:val="30"/>
          <w:szCs w:val="30"/>
        </w:rPr>
      </w:pPr>
      <w:r>
        <w:rPr>
          <w:rFonts w:hint="eastAsia" w:eastAsia="仿宋_GB2312"/>
          <w:sz w:val="30"/>
          <w:szCs w:val="30"/>
        </w:rPr>
        <w:t>三是始终坚持司法为民公正司法，在加快推进审判体系和审判能力现代化上求突破。以精细化管理提升审判效率，以规范化管理提升审判质量。持续深化司法体制综合配套改革，推进司法权力运行机制改革，持续深化审级职能定位改革、“多元调解+速裁”和诉源治理，推进打造“多元调解+速裁”新模式。同时，推动法院工作与现代科技的深度融合，构建互联网司法新模式，完善智慧诉讼服务。以减轻当事人诉累为导向，全面推广在线诉讼服务，畅通立审执“云上办”，为群众提供菜单式、集约式、一站式的司法服务。加快推进审判执行办案智能化。优化在线庭审，提高电子送达、电子卷宗适用率，增强群众诉讼体验感。</w:t>
      </w:r>
    </w:p>
    <w:p>
      <w:pPr>
        <w:spacing w:line="600" w:lineRule="exact"/>
        <w:ind w:firstLine="600" w:firstLineChars="200"/>
        <w:rPr>
          <w:rFonts w:eastAsia="仿宋_GB2312"/>
          <w:sz w:val="30"/>
          <w:szCs w:val="30"/>
        </w:rPr>
      </w:pPr>
      <w:r>
        <w:rPr>
          <w:rFonts w:hint="eastAsia" w:eastAsia="仿宋_GB2312"/>
          <w:sz w:val="30"/>
          <w:szCs w:val="30"/>
        </w:rPr>
        <w:t>四是始终坚持全面从严管党治警，在锻造过硬队伍上展新貌队伍强则事业兴。忠诚干净担当的过硬法院队伍，是司法审判工作不断提质增效的人才保障，是人民司法事业不断开创新局面实现新跨越的行动力量。牢记全面从严治党永远在路上，党的自我革命永远在路上，努力锻造政治过硬、本领高强、作风优良的精兵劲旅。</w:t>
      </w:r>
    </w:p>
    <w:p>
      <w:pPr>
        <w:rPr>
          <w:rFonts w:eastAsia="黑体"/>
          <w:color w:val="000000"/>
          <w:kern w:val="0"/>
          <w:sz w:val="32"/>
          <w:szCs w:val="32"/>
        </w:rPr>
      </w:pPr>
      <w:r>
        <w:rPr>
          <w:rFonts w:hint="eastAsia" w:eastAsia="黑体"/>
          <w:color w:val="000000"/>
          <w:kern w:val="0"/>
          <w:sz w:val="32"/>
          <w:szCs w:val="32"/>
        </w:rPr>
        <w:t>七、附件</w:t>
      </w:r>
    </w:p>
    <w:p>
      <w:pPr>
        <w:spacing w:line="600" w:lineRule="exact"/>
        <w:ind w:firstLine="600" w:firstLineChars="200"/>
        <w:rPr>
          <w:rFonts w:eastAsia="仿宋_GB2312"/>
          <w:sz w:val="30"/>
          <w:szCs w:val="30"/>
        </w:rPr>
      </w:pPr>
      <w:r>
        <w:rPr>
          <w:rFonts w:hint="eastAsia" w:eastAsia="仿宋_GB2312"/>
          <w:sz w:val="30"/>
          <w:szCs w:val="30"/>
        </w:rPr>
        <w:t>2022年部门整体绩效评价指标体系评分表</w:t>
      </w: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7651845"/>
    </w:sdtPr>
    <w:sdtContent>
      <w:p>
        <w:pPr>
          <w:pStyle w:val="4"/>
          <w:jc w:val="center"/>
        </w:pPr>
        <w:r>
          <w:fldChar w:fldCharType="begin"/>
        </w:r>
        <w:r>
          <w:instrText xml:space="preserve">PAGE   \* MERGEFORMAT</w:instrText>
        </w:r>
        <w:r>
          <w:fldChar w:fldCharType="separate"/>
        </w:r>
        <w:r>
          <w:rPr>
            <w:lang w:val="zh-CN"/>
          </w:rPr>
          <w:t>5</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Y5NTQ0ZDhlMDExMjFjODE1MTlkZTYyYjc3MzQxZDkifQ=="/>
  </w:docVars>
  <w:rsids>
    <w:rsidRoot w:val="00F02B73"/>
    <w:rsid w:val="00072444"/>
    <w:rsid w:val="00093F52"/>
    <w:rsid w:val="000B3253"/>
    <w:rsid w:val="000E5762"/>
    <w:rsid w:val="00100B25"/>
    <w:rsid w:val="00104D11"/>
    <w:rsid w:val="00106719"/>
    <w:rsid w:val="00131598"/>
    <w:rsid w:val="00135F00"/>
    <w:rsid w:val="001524A9"/>
    <w:rsid w:val="00163EA9"/>
    <w:rsid w:val="001817C5"/>
    <w:rsid w:val="00193882"/>
    <w:rsid w:val="0019423B"/>
    <w:rsid w:val="001A0F6A"/>
    <w:rsid w:val="001C0F46"/>
    <w:rsid w:val="001D66DC"/>
    <w:rsid w:val="00200CDF"/>
    <w:rsid w:val="00202F9A"/>
    <w:rsid w:val="00216AB3"/>
    <w:rsid w:val="0022550C"/>
    <w:rsid w:val="00225900"/>
    <w:rsid w:val="002405CF"/>
    <w:rsid w:val="0024593B"/>
    <w:rsid w:val="00274015"/>
    <w:rsid w:val="002953B3"/>
    <w:rsid w:val="002A4727"/>
    <w:rsid w:val="002B1AB1"/>
    <w:rsid w:val="002E0FA5"/>
    <w:rsid w:val="002F3778"/>
    <w:rsid w:val="00333A2A"/>
    <w:rsid w:val="00345CCC"/>
    <w:rsid w:val="00370D52"/>
    <w:rsid w:val="00373E21"/>
    <w:rsid w:val="00384421"/>
    <w:rsid w:val="00397577"/>
    <w:rsid w:val="003A3B53"/>
    <w:rsid w:val="003A58BB"/>
    <w:rsid w:val="003B249E"/>
    <w:rsid w:val="003C382E"/>
    <w:rsid w:val="00437FE7"/>
    <w:rsid w:val="00457582"/>
    <w:rsid w:val="00462F73"/>
    <w:rsid w:val="004A508C"/>
    <w:rsid w:val="004B2C76"/>
    <w:rsid w:val="004C1947"/>
    <w:rsid w:val="004D3979"/>
    <w:rsid w:val="00553508"/>
    <w:rsid w:val="005D3982"/>
    <w:rsid w:val="005E0452"/>
    <w:rsid w:val="005E367F"/>
    <w:rsid w:val="005E60D5"/>
    <w:rsid w:val="005F3FD9"/>
    <w:rsid w:val="005F6624"/>
    <w:rsid w:val="00603474"/>
    <w:rsid w:val="00607BAA"/>
    <w:rsid w:val="00624FCA"/>
    <w:rsid w:val="006557EB"/>
    <w:rsid w:val="00664DFF"/>
    <w:rsid w:val="00670E8C"/>
    <w:rsid w:val="006727BE"/>
    <w:rsid w:val="006D249D"/>
    <w:rsid w:val="006D4998"/>
    <w:rsid w:val="006D5610"/>
    <w:rsid w:val="006E023F"/>
    <w:rsid w:val="00703F57"/>
    <w:rsid w:val="007128E3"/>
    <w:rsid w:val="00727662"/>
    <w:rsid w:val="0073662B"/>
    <w:rsid w:val="00747D65"/>
    <w:rsid w:val="00750F24"/>
    <w:rsid w:val="00782A62"/>
    <w:rsid w:val="007916A3"/>
    <w:rsid w:val="007D1741"/>
    <w:rsid w:val="007E55A6"/>
    <w:rsid w:val="007F2F46"/>
    <w:rsid w:val="0082539E"/>
    <w:rsid w:val="00827F73"/>
    <w:rsid w:val="008330AE"/>
    <w:rsid w:val="00833580"/>
    <w:rsid w:val="00854C76"/>
    <w:rsid w:val="0086718F"/>
    <w:rsid w:val="008A1C93"/>
    <w:rsid w:val="008A551A"/>
    <w:rsid w:val="008C0E7D"/>
    <w:rsid w:val="008C606E"/>
    <w:rsid w:val="009531D3"/>
    <w:rsid w:val="00995656"/>
    <w:rsid w:val="009A5A2F"/>
    <w:rsid w:val="009A6D60"/>
    <w:rsid w:val="009E7AB1"/>
    <w:rsid w:val="009F4D3F"/>
    <w:rsid w:val="009F5133"/>
    <w:rsid w:val="00A10DD0"/>
    <w:rsid w:val="00A22A0C"/>
    <w:rsid w:val="00A646B8"/>
    <w:rsid w:val="00A85E19"/>
    <w:rsid w:val="00A97692"/>
    <w:rsid w:val="00AE7E5A"/>
    <w:rsid w:val="00B01D94"/>
    <w:rsid w:val="00B16A80"/>
    <w:rsid w:val="00B36C95"/>
    <w:rsid w:val="00B45EAF"/>
    <w:rsid w:val="00B50611"/>
    <w:rsid w:val="00B600B9"/>
    <w:rsid w:val="00B8255C"/>
    <w:rsid w:val="00BF1175"/>
    <w:rsid w:val="00BF1B95"/>
    <w:rsid w:val="00BF5BBE"/>
    <w:rsid w:val="00C116B4"/>
    <w:rsid w:val="00CD0CE8"/>
    <w:rsid w:val="00CF4961"/>
    <w:rsid w:val="00D0054B"/>
    <w:rsid w:val="00D14B5E"/>
    <w:rsid w:val="00D16F23"/>
    <w:rsid w:val="00D64020"/>
    <w:rsid w:val="00D65C16"/>
    <w:rsid w:val="00D674BF"/>
    <w:rsid w:val="00DA0CA5"/>
    <w:rsid w:val="00DA4768"/>
    <w:rsid w:val="00DE0757"/>
    <w:rsid w:val="00DF14ED"/>
    <w:rsid w:val="00E03392"/>
    <w:rsid w:val="00E07590"/>
    <w:rsid w:val="00E1703D"/>
    <w:rsid w:val="00E37027"/>
    <w:rsid w:val="00E63BAB"/>
    <w:rsid w:val="00E72C63"/>
    <w:rsid w:val="00E960AC"/>
    <w:rsid w:val="00EA33BF"/>
    <w:rsid w:val="00F011A1"/>
    <w:rsid w:val="00F02B73"/>
    <w:rsid w:val="00F30218"/>
    <w:rsid w:val="00F32D20"/>
    <w:rsid w:val="00F739D6"/>
    <w:rsid w:val="00FA7799"/>
    <w:rsid w:val="00FE3673"/>
    <w:rsid w:val="00FE4B49"/>
    <w:rsid w:val="013073B4"/>
    <w:rsid w:val="01E943A0"/>
    <w:rsid w:val="01FC2C01"/>
    <w:rsid w:val="0236335D"/>
    <w:rsid w:val="02C2228F"/>
    <w:rsid w:val="03011BBD"/>
    <w:rsid w:val="05551D4C"/>
    <w:rsid w:val="05654685"/>
    <w:rsid w:val="05777F14"/>
    <w:rsid w:val="064047AA"/>
    <w:rsid w:val="06846D8D"/>
    <w:rsid w:val="06F51A39"/>
    <w:rsid w:val="077E37DC"/>
    <w:rsid w:val="08255934"/>
    <w:rsid w:val="086A3D60"/>
    <w:rsid w:val="08753B69"/>
    <w:rsid w:val="08897445"/>
    <w:rsid w:val="08B651F8"/>
    <w:rsid w:val="09095327"/>
    <w:rsid w:val="097035F9"/>
    <w:rsid w:val="0ADB7197"/>
    <w:rsid w:val="0AFA5870"/>
    <w:rsid w:val="0B195A81"/>
    <w:rsid w:val="0B5D195B"/>
    <w:rsid w:val="0C3F61AD"/>
    <w:rsid w:val="0C9C64B3"/>
    <w:rsid w:val="0CD30126"/>
    <w:rsid w:val="0D505C1B"/>
    <w:rsid w:val="0D71793F"/>
    <w:rsid w:val="0D8E229F"/>
    <w:rsid w:val="0DB6568B"/>
    <w:rsid w:val="0E127789"/>
    <w:rsid w:val="0E6F20D1"/>
    <w:rsid w:val="0E8F516F"/>
    <w:rsid w:val="0F0312ED"/>
    <w:rsid w:val="0F4A0448"/>
    <w:rsid w:val="0F615EBD"/>
    <w:rsid w:val="100E76C7"/>
    <w:rsid w:val="104B00A3"/>
    <w:rsid w:val="109C64BB"/>
    <w:rsid w:val="10E72119"/>
    <w:rsid w:val="1145536B"/>
    <w:rsid w:val="12525F91"/>
    <w:rsid w:val="128A74D9"/>
    <w:rsid w:val="12C27A9B"/>
    <w:rsid w:val="13203999"/>
    <w:rsid w:val="134C0C32"/>
    <w:rsid w:val="13C819C1"/>
    <w:rsid w:val="13EB3EF3"/>
    <w:rsid w:val="150177FB"/>
    <w:rsid w:val="150D619F"/>
    <w:rsid w:val="151614F8"/>
    <w:rsid w:val="154C4F1A"/>
    <w:rsid w:val="16273291"/>
    <w:rsid w:val="16BD20F3"/>
    <w:rsid w:val="180729F7"/>
    <w:rsid w:val="18422604"/>
    <w:rsid w:val="1910625E"/>
    <w:rsid w:val="19516372"/>
    <w:rsid w:val="1A3C021B"/>
    <w:rsid w:val="1A97157D"/>
    <w:rsid w:val="1AA414D5"/>
    <w:rsid w:val="1B1262BE"/>
    <w:rsid w:val="1BC51582"/>
    <w:rsid w:val="1C1442B7"/>
    <w:rsid w:val="1C9F4596"/>
    <w:rsid w:val="1D4E37F9"/>
    <w:rsid w:val="1E5660C5"/>
    <w:rsid w:val="1E777B11"/>
    <w:rsid w:val="1EDD7162"/>
    <w:rsid w:val="1F0777D3"/>
    <w:rsid w:val="1F2615A1"/>
    <w:rsid w:val="1FF77938"/>
    <w:rsid w:val="200C59D1"/>
    <w:rsid w:val="201C198C"/>
    <w:rsid w:val="21585AAE"/>
    <w:rsid w:val="21AB3D91"/>
    <w:rsid w:val="21F879CD"/>
    <w:rsid w:val="22F90C34"/>
    <w:rsid w:val="2378337E"/>
    <w:rsid w:val="23A203FB"/>
    <w:rsid w:val="2458344D"/>
    <w:rsid w:val="24EF61D4"/>
    <w:rsid w:val="25665B84"/>
    <w:rsid w:val="25C85716"/>
    <w:rsid w:val="27167CA1"/>
    <w:rsid w:val="27AC1463"/>
    <w:rsid w:val="285E08FB"/>
    <w:rsid w:val="28687E65"/>
    <w:rsid w:val="287265EE"/>
    <w:rsid w:val="28EF5E90"/>
    <w:rsid w:val="29447B75"/>
    <w:rsid w:val="29CC6E69"/>
    <w:rsid w:val="2A107348"/>
    <w:rsid w:val="2A122EC9"/>
    <w:rsid w:val="2A5C071E"/>
    <w:rsid w:val="2AAF16FA"/>
    <w:rsid w:val="2B163BA8"/>
    <w:rsid w:val="2B65243A"/>
    <w:rsid w:val="2BB86A0D"/>
    <w:rsid w:val="2BC058C2"/>
    <w:rsid w:val="2CD77367"/>
    <w:rsid w:val="2D910534"/>
    <w:rsid w:val="2DC4288F"/>
    <w:rsid w:val="2E3662A3"/>
    <w:rsid w:val="2EE46F73"/>
    <w:rsid w:val="2FCD67FF"/>
    <w:rsid w:val="305667F5"/>
    <w:rsid w:val="310E0E7D"/>
    <w:rsid w:val="32FA2ADB"/>
    <w:rsid w:val="345D63A4"/>
    <w:rsid w:val="34A743F6"/>
    <w:rsid w:val="353C06AF"/>
    <w:rsid w:val="35591A96"/>
    <w:rsid w:val="355F4A74"/>
    <w:rsid w:val="35613C72"/>
    <w:rsid w:val="360016DD"/>
    <w:rsid w:val="36581519"/>
    <w:rsid w:val="368C2A58"/>
    <w:rsid w:val="369B7657"/>
    <w:rsid w:val="387E2D8D"/>
    <w:rsid w:val="390C2146"/>
    <w:rsid w:val="39972358"/>
    <w:rsid w:val="3A06303A"/>
    <w:rsid w:val="3AD777DD"/>
    <w:rsid w:val="3BC53255"/>
    <w:rsid w:val="3CDD4FE7"/>
    <w:rsid w:val="3D9425AC"/>
    <w:rsid w:val="3E990920"/>
    <w:rsid w:val="3F0A7FA0"/>
    <w:rsid w:val="3F125028"/>
    <w:rsid w:val="3F7D4F2E"/>
    <w:rsid w:val="4012098A"/>
    <w:rsid w:val="41390199"/>
    <w:rsid w:val="417137CD"/>
    <w:rsid w:val="42FC322C"/>
    <w:rsid w:val="430A4D97"/>
    <w:rsid w:val="43CA157C"/>
    <w:rsid w:val="43CF0940"/>
    <w:rsid w:val="455B692F"/>
    <w:rsid w:val="45F44B10"/>
    <w:rsid w:val="46282628"/>
    <w:rsid w:val="466943F9"/>
    <w:rsid w:val="46C832BD"/>
    <w:rsid w:val="46F55DD0"/>
    <w:rsid w:val="47307948"/>
    <w:rsid w:val="476145F7"/>
    <w:rsid w:val="47C3362C"/>
    <w:rsid w:val="47EA7AF7"/>
    <w:rsid w:val="480C2BDB"/>
    <w:rsid w:val="484F02A2"/>
    <w:rsid w:val="48A00AFD"/>
    <w:rsid w:val="492E435B"/>
    <w:rsid w:val="497951A0"/>
    <w:rsid w:val="4C787DC7"/>
    <w:rsid w:val="4C8A7AFA"/>
    <w:rsid w:val="4D550108"/>
    <w:rsid w:val="4D75441B"/>
    <w:rsid w:val="4E012B3F"/>
    <w:rsid w:val="4E362315"/>
    <w:rsid w:val="4ECE61E3"/>
    <w:rsid w:val="4EF25C7F"/>
    <w:rsid w:val="4F9842DC"/>
    <w:rsid w:val="4FA5170C"/>
    <w:rsid w:val="5032295C"/>
    <w:rsid w:val="50CE26AB"/>
    <w:rsid w:val="527E1351"/>
    <w:rsid w:val="53656BCB"/>
    <w:rsid w:val="53A72D40"/>
    <w:rsid w:val="53B86B5B"/>
    <w:rsid w:val="551E34D6"/>
    <w:rsid w:val="55320D2F"/>
    <w:rsid w:val="55674DDF"/>
    <w:rsid w:val="560717D1"/>
    <w:rsid w:val="56BA5480"/>
    <w:rsid w:val="5859375E"/>
    <w:rsid w:val="59F70789"/>
    <w:rsid w:val="5A040EEC"/>
    <w:rsid w:val="5A144EA7"/>
    <w:rsid w:val="5A556960"/>
    <w:rsid w:val="5A920D5A"/>
    <w:rsid w:val="5A9F6E67"/>
    <w:rsid w:val="5C56756F"/>
    <w:rsid w:val="5EAA582E"/>
    <w:rsid w:val="5ED5606C"/>
    <w:rsid w:val="5EF62DCD"/>
    <w:rsid w:val="5F055641"/>
    <w:rsid w:val="5F7C32D2"/>
    <w:rsid w:val="607641C6"/>
    <w:rsid w:val="60911000"/>
    <w:rsid w:val="60B62814"/>
    <w:rsid w:val="60E6759D"/>
    <w:rsid w:val="61642270"/>
    <w:rsid w:val="627E1E92"/>
    <w:rsid w:val="62943029"/>
    <w:rsid w:val="63027A37"/>
    <w:rsid w:val="634C56B2"/>
    <w:rsid w:val="6356208C"/>
    <w:rsid w:val="641C32D6"/>
    <w:rsid w:val="64E3593F"/>
    <w:rsid w:val="64F61D79"/>
    <w:rsid w:val="65A92947"/>
    <w:rsid w:val="65B80DDC"/>
    <w:rsid w:val="65ED4F2A"/>
    <w:rsid w:val="6678554A"/>
    <w:rsid w:val="66E250EA"/>
    <w:rsid w:val="675044C2"/>
    <w:rsid w:val="67A27F96"/>
    <w:rsid w:val="698A6F34"/>
    <w:rsid w:val="6A260B2B"/>
    <w:rsid w:val="6B0845B4"/>
    <w:rsid w:val="6B610944"/>
    <w:rsid w:val="6B9D4CFC"/>
    <w:rsid w:val="6C036568"/>
    <w:rsid w:val="6C843EF9"/>
    <w:rsid w:val="6C8D4D71"/>
    <w:rsid w:val="6CA87DFD"/>
    <w:rsid w:val="6CB205DA"/>
    <w:rsid w:val="6D30394E"/>
    <w:rsid w:val="6DCC3677"/>
    <w:rsid w:val="6E3F46CC"/>
    <w:rsid w:val="6E7F06E9"/>
    <w:rsid w:val="6EC425A0"/>
    <w:rsid w:val="6F234695"/>
    <w:rsid w:val="6FE52308"/>
    <w:rsid w:val="70A044F5"/>
    <w:rsid w:val="71436346"/>
    <w:rsid w:val="719374FA"/>
    <w:rsid w:val="71A41A51"/>
    <w:rsid w:val="71B71317"/>
    <w:rsid w:val="73263829"/>
    <w:rsid w:val="73841D2D"/>
    <w:rsid w:val="74055B35"/>
    <w:rsid w:val="745E5245"/>
    <w:rsid w:val="74962C31"/>
    <w:rsid w:val="74BD640F"/>
    <w:rsid w:val="74F646C9"/>
    <w:rsid w:val="754F71E0"/>
    <w:rsid w:val="75C335B1"/>
    <w:rsid w:val="762E3465"/>
    <w:rsid w:val="767B1273"/>
    <w:rsid w:val="76916E59"/>
    <w:rsid w:val="76A25E17"/>
    <w:rsid w:val="77FC724F"/>
    <w:rsid w:val="78146346"/>
    <w:rsid w:val="78864B48"/>
    <w:rsid w:val="79312349"/>
    <w:rsid w:val="795E5322"/>
    <w:rsid w:val="7A146AD1"/>
    <w:rsid w:val="7AC57DCC"/>
    <w:rsid w:val="7AD251AF"/>
    <w:rsid w:val="7AE91D0C"/>
    <w:rsid w:val="7B14584D"/>
    <w:rsid w:val="7B187EFC"/>
    <w:rsid w:val="7BC02341"/>
    <w:rsid w:val="7BF5648F"/>
    <w:rsid w:val="7C0A3959"/>
    <w:rsid w:val="7C4D62CB"/>
    <w:rsid w:val="7C662EE9"/>
    <w:rsid w:val="7CA83501"/>
    <w:rsid w:val="7DAC69B0"/>
    <w:rsid w:val="7E265025"/>
    <w:rsid w:val="7ECC37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39"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19"/>
    <w:semiHidden/>
    <w:unhideWhenUsed/>
    <w:qFormat/>
    <w:uiPriority w:val="99"/>
    <w:pPr>
      <w:jc w:val="left"/>
    </w:pPr>
  </w:style>
  <w:style w:type="paragraph" w:styleId="4">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3"/>
    <w:next w:val="3"/>
    <w:link w:val="20"/>
    <w:semiHidden/>
    <w:unhideWhenUsed/>
    <w:qFormat/>
    <w:uiPriority w:val="99"/>
    <w:rPr>
      <w:b/>
      <w:bCs/>
    </w:rPr>
  </w:style>
  <w:style w:type="table" w:styleId="8">
    <w:name w:val="Table Grid"/>
    <w:basedOn w:val="7"/>
    <w:semiHidden/>
    <w:unhideWhenUsed/>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0">
    <w:name w:val="Hyperlink"/>
    <w:unhideWhenUsed/>
    <w:qFormat/>
    <w:uiPriority w:val="99"/>
    <w:rPr>
      <w:color w:val="0000FF"/>
      <w:u w:val="single"/>
    </w:rPr>
  </w:style>
  <w:style w:type="character" w:styleId="11">
    <w:name w:val="annotation reference"/>
    <w:basedOn w:val="9"/>
    <w:semiHidden/>
    <w:unhideWhenUsed/>
    <w:qFormat/>
    <w:uiPriority w:val="99"/>
    <w:rPr>
      <w:sz w:val="21"/>
      <w:szCs w:val="21"/>
    </w:rPr>
  </w:style>
  <w:style w:type="character" w:customStyle="1" w:styleId="12">
    <w:name w:val="页眉 字符"/>
    <w:basedOn w:val="9"/>
    <w:link w:val="5"/>
    <w:qFormat/>
    <w:uiPriority w:val="99"/>
    <w:rPr>
      <w:sz w:val="18"/>
      <w:szCs w:val="18"/>
    </w:rPr>
  </w:style>
  <w:style w:type="character" w:customStyle="1" w:styleId="13">
    <w:name w:val="页脚 字符"/>
    <w:basedOn w:val="9"/>
    <w:link w:val="4"/>
    <w:qFormat/>
    <w:uiPriority w:val="99"/>
    <w:rPr>
      <w:sz w:val="18"/>
      <w:szCs w:val="18"/>
    </w:rPr>
  </w:style>
  <w:style w:type="character" w:styleId="14">
    <w:name w:val="Placeholder Text"/>
    <w:basedOn w:val="9"/>
    <w:semiHidden/>
    <w:qFormat/>
    <w:uiPriority w:val="99"/>
    <w:rPr>
      <w:color w:val="808080"/>
    </w:rPr>
  </w:style>
  <w:style w:type="character" w:customStyle="1" w:styleId="15">
    <w:name w:val="标题 1 字符"/>
    <w:basedOn w:val="9"/>
    <w:link w:val="2"/>
    <w:qFormat/>
    <w:uiPriority w:val="9"/>
    <w:rPr>
      <w:rFonts w:ascii="Times New Roman" w:hAnsi="Times New Roman" w:eastAsia="宋体" w:cs="Times New Roman"/>
      <w:b/>
      <w:bCs/>
      <w:kern w:val="44"/>
      <w:sz w:val="44"/>
      <w:szCs w:val="44"/>
    </w:rPr>
  </w:style>
  <w:style w:type="paragraph" w:customStyle="1" w:styleId="16">
    <w:name w:val="TOC 标题1"/>
    <w:basedOn w:val="2"/>
    <w:next w:val="1"/>
    <w:semiHidden/>
    <w:unhideWhenUsed/>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7">
    <w:name w:val="_Style 11"/>
    <w:basedOn w:val="1"/>
    <w:next w:val="1"/>
    <w:qFormat/>
    <w:uiPriority w:val="39"/>
    <w:pPr>
      <w:ind w:left="420" w:leftChars="200"/>
    </w:pPr>
  </w:style>
  <w:style w:type="paragraph" w:customStyle="1" w:styleId="18">
    <w:name w:val="Default"/>
    <w:qFormat/>
    <w:uiPriority w:val="0"/>
    <w:pPr>
      <w:widowControl w:val="0"/>
      <w:autoSpaceDE w:val="0"/>
      <w:autoSpaceDN w:val="0"/>
      <w:adjustRightInd w:val="0"/>
    </w:pPr>
    <w:rPr>
      <w:rFonts w:ascii="仿宋_GB2312" w:eastAsia="仿宋_GB2312" w:cs="仿宋_GB2312" w:hAnsiTheme="minorHAnsi"/>
      <w:color w:val="000000"/>
      <w:sz w:val="24"/>
      <w:szCs w:val="24"/>
      <w:lang w:val="en-US" w:eastAsia="zh-CN" w:bidi="ar-SA"/>
    </w:rPr>
  </w:style>
  <w:style w:type="character" w:customStyle="1" w:styleId="19">
    <w:name w:val="批注文字 字符"/>
    <w:basedOn w:val="9"/>
    <w:link w:val="3"/>
    <w:semiHidden/>
    <w:qFormat/>
    <w:uiPriority w:val="99"/>
    <w:rPr>
      <w:rFonts w:ascii="Times New Roman" w:hAnsi="Times New Roman" w:eastAsia="宋体" w:cs="Times New Roman"/>
      <w:szCs w:val="24"/>
    </w:rPr>
  </w:style>
  <w:style w:type="character" w:customStyle="1" w:styleId="20">
    <w:name w:val="批注主题 字符"/>
    <w:basedOn w:val="19"/>
    <w:link w:val="6"/>
    <w:semiHidden/>
    <w:qFormat/>
    <w:uiPriority w:val="99"/>
    <w:rPr>
      <w:rFonts w:ascii="Times New Roman" w:hAnsi="Times New Roman" w:eastAsia="宋体" w:cs="Times New Roman"/>
      <w:b/>
      <w:bCs/>
      <w:szCs w:val="24"/>
    </w:rPr>
  </w:style>
  <w:style w:type="paragraph" w:customStyle="1" w:styleId="21">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22">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23">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8341</Words>
  <Characters>9083</Characters>
  <Lines>65</Lines>
  <Paragraphs>18</Paragraphs>
  <TotalTime>0</TotalTime>
  <ScaleCrop>false</ScaleCrop>
  <LinksUpToDate>false</LinksUpToDate>
  <CharactersWithSpaces>9118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2022-05-09T02:43:00Z</dcterms:created>
  <dc:creator>user</dc:creator>
  <cp:lastModifiedBy>user</cp:lastModifiedBy>
  <dcterms:modified xsi:type="dcterms:W3CDTF">2023-06-07T07:03:19Z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9A6024666D364714A6A9DDCCB1EFE445_12</vt:lpwstr>
  </property>
</Properties>
</file>