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2</w:t>
      </w:r>
      <w:r>
        <w:rPr>
          <w:rFonts w:hint="eastAsia" w:ascii="宋体" w:hAnsi="宋体" w:eastAsia="宋体" w:cs="宋体"/>
          <w:sz w:val="32"/>
          <w:szCs w:val="32"/>
        </w:rPr>
        <w:t>年度北京市供销合作总社</w:t>
      </w:r>
    </w:p>
    <w:p>
      <w:pPr>
        <w:spacing w:line="360" w:lineRule="auto"/>
        <w:jc w:val="center"/>
        <w:rPr>
          <w:rFonts w:hint="eastAsia" w:ascii="宋体" w:hAnsi="宋体" w:eastAsia="宋体" w:cs="宋体"/>
          <w:sz w:val="32"/>
          <w:szCs w:val="32"/>
          <w:lang w:eastAsia="zh-CN"/>
        </w:rPr>
      </w:pPr>
      <w:r>
        <w:rPr>
          <w:rFonts w:hint="eastAsia" w:ascii="宋体" w:hAnsi="宋体" w:eastAsia="宋体" w:cs="宋体"/>
          <w:sz w:val="32"/>
          <w:szCs w:val="32"/>
        </w:rPr>
        <w:t>部门整体绩效评价报告</w:t>
      </w:r>
    </w:p>
    <w:p>
      <w:pPr>
        <w:pStyle w:val="2"/>
        <w:rPr>
          <w:rFonts w:hint="eastAsia"/>
        </w:rPr>
      </w:pPr>
    </w:p>
    <w:p>
      <w:pPr>
        <w:numPr>
          <w:ilvl w:val="0"/>
          <w:numId w:val="1"/>
        </w:numPr>
        <w:spacing w:line="360" w:lineRule="auto"/>
        <w:ind w:firstLine="482" w:firstLineChars="200"/>
        <w:outlineLvl w:val="0"/>
        <w:rPr>
          <w:rFonts w:hint="eastAsia" w:ascii="宋体" w:hAnsi="宋体" w:eastAsia="宋体" w:cs="宋体"/>
          <w:b/>
          <w:bCs/>
          <w:color w:val="000000"/>
          <w:kern w:val="0"/>
          <w:sz w:val="24"/>
          <w:szCs w:val="24"/>
        </w:rPr>
      </w:pPr>
      <w:bookmarkStart w:id="0" w:name="_Toc16317"/>
      <w:r>
        <w:rPr>
          <w:rFonts w:hint="eastAsia" w:ascii="宋体" w:hAnsi="宋体" w:eastAsia="宋体" w:cs="宋体"/>
          <w:b/>
          <w:bCs/>
          <w:color w:val="000000"/>
          <w:kern w:val="0"/>
          <w:sz w:val="24"/>
          <w:szCs w:val="24"/>
        </w:rPr>
        <w:t>部门概况</w:t>
      </w:r>
      <w:bookmarkEnd w:id="0"/>
    </w:p>
    <w:p>
      <w:pPr>
        <w:spacing w:line="360" w:lineRule="auto"/>
        <w:ind w:firstLine="480" w:firstLineChars="200"/>
        <w:outlineLvl w:val="1"/>
        <w:rPr>
          <w:rFonts w:hint="eastAsia" w:ascii="宋体" w:hAnsi="宋体" w:eastAsia="宋体" w:cs="宋体"/>
          <w:sz w:val="24"/>
          <w:szCs w:val="24"/>
        </w:rPr>
      </w:pPr>
      <w:bookmarkStart w:id="1" w:name="_Toc6771"/>
      <w:r>
        <w:rPr>
          <w:rFonts w:hint="eastAsia" w:ascii="宋体" w:hAnsi="宋体" w:eastAsia="宋体" w:cs="宋体"/>
          <w:sz w:val="24"/>
          <w:szCs w:val="24"/>
        </w:rPr>
        <w:t>（一）机构设置及职责工作任务情况</w:t>
      </w:r>
      <w:bookmarkEnd w:id="1"/>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北京市供销合作总社（以下简称“</w:t>
      </w:r>
      <w:r>
        <w:rPr>
          <w:rFonts w:hint="eastAsia" w:ascii="宋体" w:hAnsi="宋体" w:eastAsia="宋体" w:cs="宋体"/>
          <w:kern w:val="0"/>
          <w:sz w:val="24"/>
          <w:szCs w:val="24"/>
          <w:lang w:eastAsia="zh-CN"/>
        </w:rPr>
        <w:t>市社</w:t>
      </w:r>
      <w:r>
        <w:rPr>
          <w:rFonts w:hint="eastAsia" w:ascii="宋体" w:hAnsi="宋体" w:eastAsia="宋体" w:cs="宋体"/>
          <w:kern w:val="0"/>
          <w:sz w:val="24"/>
          <w:szCs w:val="24"/>
        </w:rPr>
        <w:t>”）成立于1949年2月22日，是北京市人民政府和中华全国供销合作总社领导下的全市供销合作社的联合组织，也是全市供销合作社的领导机构和本级社社有资产的管理机构，履行供销社行业指导及社有资产出资人等职责。</w:t>
      </w:r>
      <w:r>
        <w:rPr>
          <w:rFonts w:hint="eastAsia" w:ascii="宋体" w:hAnsi="宋体" w:eastAsia="宋体" w:cs="宋体"/>
          <w:kern w:val="0"/>
          <w:sz w:val="24"/>
          <w:szCs w:val="24"/>
          <w:lang w:eastAsia="zh-CN"/>
        </w:rPr>
        <w:t>市社</w:t>
      </w:r>
      <w:r>
        <w:rPr>
          <w:rFonts w:hint="eastAsia" w:ascii="宋体" w:hAnsi="宋体" w:eastAsia="宋体" w:cs="宋体"/>
          <w:kern w:val="0"/>
          <w:sz w:val="24"/>
          <w:szCs w:val="24"/>
        </w:rPr>
        <w:t>为集体法人单位，负责人</w:t>
      </w:r>
      <w:r>
        <w:rPr>
          <w:rFonts w:hint="eastAsia" w:ascii="宋体" w:hAnsi="宋体" w:cs="宋体"/>
          <w:kern w:val="0"/>
          <w:sz w:val="24"/>
          <w:szCs w:val="24"/>
          <w:lang w:eastAsia="zh-CN"/>
        </w:rPr>
        <w:t>马建梅</w:t>
      </w:r>
      <w:r>
        <w:rPr>
          <w:rFonts w:hint="eastAsia" w:ascii="宋体" w:hAnsi="宋体" w:eastAsia="宋体" w:cs="宋体"/>
          <w:kern w:val="0"/>
          <w:sz w:val="24"/>
          <w:szCs w:val="24"/>
        </w:rPr>
        <w:t>。</w:t>
      </w:r>
    </w:p>
    <w:p>
      <w:pPr>
        <w:numPr>
          <w:ilvl w:val="0"/>
          <w:numId w:val="2"/>
        </w:numPr>
        <w:spacing w:line="360" w:lineRule="auto"/>
        <w:ind w:firstLine="480" w:firstLineChars="200"/>
        <w:outlineLvl w:val="2"/>
        <w:rPr>
          <w:rFonts w:hint="eastAsia" w:ascii="宋体" w:hAnsi="宋体" w:eastAsia="宋体" w:cs="宋体"/>
          <w:kern w:val="0"/>
          <w:sz w:val="24"/>
          <w:szCs w:val="24"/>
        </w:rPr>
      </w:pPr>
      <w:bookmarkStart w:id="2" w:name="_Toc7153"/>
      <w:r>
        <w:rPr>
          <w:rFonts w:hint="eastAsia" w:ascii="宋体" w:hAnsi="宋体" w:eastAsia="宋体" w:cs="宋体"/>
          <w:kern w:val="0"/>
          <w:sz w:val="24"/>
          <w:szCs w:val="24"/>
        </w:rPr>
        <w:t>主要职能</w:t>
      </w:r>
      <w:bookmarkEnd w:id="2"/>
    </w:p>
    <w:p>
      <w:pPr>
        <w:numPr>
          <w:ilvl w:val="0"/>
          <w:numId w:val="0"/>
        </w:numPr>
        <w:spacing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北京市供销合作总社是全市供销合作社的领导机构和市级社社有资产的管理机构，主要履行系统行业指导和市级社社有资产出资人代表职能。作为党和政府密切联系农民群众的桥梁纽带和推动“三农”工作的重要载体，市供销社系统坚持为农、务农、姓农，积极发展都市型现代农业和城乡一体化建设，在首都经济社会发展中发挥着日益重要的作用。市社长期接受市政府委托，承担着代市政府储备农业生产资料、防汛应急物资、国家及本市重大活动果品供应任务及烟花储运任务。新时期，市社将按照党和国家对供销合作社提出的新的要求，加快贯彻落实中共中央、国务院《关于深化供销合作社综合改革的决定》和北京市人民政府《深化北京市供销合作社综合改革实施方案》，继续坚持为农服务根本宗旨，坚持合作制基本原则，坚持社会主义市场经济改革方向，坚持因地制宜、分类指导，围绕首都核心功能定位，紧抓发展机遇、不断深化改革，统筹配置资源，加快结构调整，进一步发挥主渠道作用，提升服务功能，把供销合作社打造成为服务城乡居民生产生活的生力军和综合平台，为首都城乡提供多领域、多层次、多样化的综合服务，全力打造具有北京特色的“高精尖”新型城市供销社，全面开创北京供销合作事业新局面</w:t>
      </w:r>
      <w:r>
        <w:rPr>
          <w:rFonts w:hint="eastAsia" w:ascii="宋体" w:hAnsi="宋体" w:eastAsia="宋体" w:cs="宋体"/>
          <w:kern w:val="0"/>
          <w:sz w:val="24"/>
          <w:szCs w:val="24"/>
          <w:lang w:eastAsia="zh-CN"/>
        </w:rPr>
        <w:t>。</w:t>
      </w:r>
    </w:p>
    <w:p>
      <w:pPr>
        <w:numPr>
          <w:ilvl w:val="0"/>
          <w:numId w:val="2"/>
        </w:numPr>
        <w:spacing w:line="360" w:lineRule="auto"/>
        <w:ind w:left="0" w:leftChars="0" w:firstLine="480" w:firstLineChars="200"/>
        <w:outlineLvl w:val="2"/>
        <w:rPr>
          <w:rFonts w:hint="eastAsia" w:ascii="宋体" w:hAnsi="宋体" w:eastAsia="宋体" w:cs="宋体"/>
          <w:kern w:val="0"/>
          <w:sz w:val="24"/>
          <w:szCs w:val="24"/>
        </w:rPr>
      </w:pPr>
      <w:bookmarkStart w:id="3" w:name="_Toc26569"/>
      <w:r>
        <w:rPr>
          <w:rFonts w:hint="eastAsia" w:ascii="宋体" w:hAnsi="宋体" w:eastAsia="宋体" w:cs="宋体"/>
          <w:kern w:val="0"/>
          <w:sz w:val="24"/>
          <w:szCs w:val="24"/>
        </w:rPr>
        <w:t>机构情况，包括当年变动情况及原因</w:t>
      </w:r>
      <w:bookmarkEnd w:id="3"/>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北京市供销合作总社下属四个二级决算单位，分别是北京市供销合作总社本级（258001），北京市经贸高级技术学校（258002），北京市供销学校（258003）和北京市供销干部学校（258004）。其中市供销社本级享受财政定额补助，其他三个单位全部为全额拨款事业单位，与去年相比，没有变化。</w:t>
      </w:r>
    </w:p>
    <w:p>
      <w:pPr>
        <w:numPr>
          <w:ilvl w:val="0"/>
          <w:numId w:val="2"/>
        </w:numPr>
        <w:spacing w:line="360" w:lineRule="auto"/>
        <w:ind w:left="0" w:leftChars="0" w:firstLine="480" w:firstLineChars="200"/>
        <w:outlineLvl w:val="2"/>
        <w:rPr>
          <w:rFonts w:hint="eastAsia" w:ascii="宋体" w:hAnsi="宋体" w:eastAsia="宋体" w:cs="宋体"/>
          <w:kern w:val="0"/>
          <w:sz w:val="24"/>
          <w:szCs w:val="24"/>
        </w:rPr>
      </w:pPr>
      <w:bookmarkStart w:id="4" w:name="_Toc17341"/>
      <w:r>
        <w:rPr>
          <w:rFonts w:hint="eastAsia" w:ascii="宋体" w:hAnsi="宋体" w:eastAsia="宋体" w:cs="宋体"/>
          <w:kern w:val="0"/>
          <w:sz w:val="24"/>
          <w:szCs w:val="24"/>
        </w:rPr>
        <w:t>人员情况及增减变动原因</w:t>
      </w:r>
      <w:bookmarkEnd w:id="4"/>
    </w:p>
    <w:p>
      <w:pPr>
        <w:numPr>
          <w:ilvl w:val="0"/>
          <w:numId w:val="0"/>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eastAsia="zh-CN"/>
        </w:rPr>
        <w:t>市供销社2022年末人员编制381人，其中财政拨款开支人员215人，由养老保险基金发放养老金的离退休人员166人。</w:t>
      </w:r>
    </w:p>
    <w:p>
      <w:pPr>
        <w:numPr>
          <w:ilvl w:val="0"/>
          <w:numId w:val="3"/>
        </w:numPr>
        <w:spacing w:line="360" w:lineRule="auto"/>
        <w:ind w:firstLine="480" w:firstLineChars="200"/>
        <w:outlineLvl w:val="1"/>
        <w:rPr>
          <w:rFonts w:hint="eastAsia" w:ascii="宋体" w:hAnsi="宋体" w:eastAsia="宋体" w:cs="宋体"/>
          <w:sz w:val="24"/>
          <w:szCs w:val="24"/>
        </w:rPr>
      </w:pPr>
      <w:bookmarkStart w:id="5" w:name="_Toc8221"/>
      <w:r>
        <w:rPr>
          <w:rFonts w:hint="eastAsia" w:ascii="宋体" w:hAnsi="宋体" w:eastAsia="宋体" w:cs="宋体"/>
          <w:sz w:val="24"/>
          <w:szCs w:val="24"/>
        </w:rPr>
        <w:t>部门整体绩效目标设立情况</w:t>
      </w:r>
      <w:bookmarkEnd w:id="5"/>
    </w:p>
    <w:p>
      <w:pPr>
        <w:numPr>
          <w:ilvl w:val="0"/>
          <w:numId w:val="4"/>
        </w:numPr>
        <w:spacing w:line="360" w:lineRule="auto"/>
        <w:ind w:firstLine="480" w:firstLineChars="200"/>
        <w:outlineLvl w:val="2"/>
        <w:rPr>
          <w:rFonts w:hint="eastAsia" w:ascii="宋体" w:hAnsi="宋体" w:eastAsia="宋体" w:cs="宋体"/>
          <w:kern w:val="0"/>
          <w:sz w:val="24"/>
          <w:szCs w:val="24"/>
        </w:rPr>
      </w:pPr>
      <w:bookmarkStart w:id="6" w:name="_Toc28216"/>
      <w:r>
        <w:rPr>
          <w:rFonts w:hint="eastAsia" w:ascii="宋体" w:hAnsi="宋体" w:eastAsia="宋体" w:cs="宋体"/>
          <w:kern w:val="0"/>
          <w:sz w:val="24"/>
          <w:szCs w:val="24"/>
        </w:rPr>
        <w:t>绩效目标设立依据</w:t>
      </w:r>
      <w:bookmarkEnd w:id="6"/>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部门整体</w:t>
      </w:r>
      <w:r>
        <w:rPr>
          <w:rFonts w:hint="eastAsia" w:ascii="宋体" w:hAnsi="宋体" w:eastAsia="宋体" w:cs="宋体"/>
          <w:kern w:val="0"/>
          <w:sz w:val="24"/>
          <w:szCs w:val="24"/>
        </w:rPr>
        <w:t>围绕重点工作设定以下绩效目标：修缮建设类项目按照项目规划及时施工，保障进度，完成竣工验收并投入使用。</w:t>
      </w:r>
    </w:p>
    <w:p>
      <w:pPr>
        <w:numPr>
          <w:ilvl w:val="0"/>
          <w:numId w:val="4"/>
        </w:numPr>
        <w:spacing w:line="360" w:lineRule="auto"/>
        <w:ind w:left="0" w:leftChars="0" w:firstLine="480" w:firstLineChars="200"/>
        <w:outlineLvl w:val="2"/>
        <w:rPr>
          <w:rFonts w:hint="eastAsia" w:ascii="宋体" w:hAnsi="宋体" w:eastAsia="宋体" w:cs="宋体"/>
          <w:color w:val="000000"/>
          <w:kern w:val="0"/>
          <w:sz w:val="24"/>
          <w:szCs w:val="24"/>
        </w:rPr>
      </w:pPr>
      <w:bookmarkStart w:id="7" w:name="_Toc32357"/>
      <w:r>
        <w:rPr>
          <w:rFonts w:hint="eastAsia" w:ascii="宋体" w:hAnsi="宋体" w:eastAsia="宋体" w:cs="宋体"/>
          <w:sz w:val="24"/>
          <w:szCs w:val="24"/>
        </w:rPr>
        <w:t>目标与职责任务匹配情况</w:t>
      </w:r>
      <w:bookmarkEnd w:id="7"/>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目标设定</w:t>
      </w:r>
      <w:r>
        <w:rPr>
          <w:rFonts w:hint="eastAsia" w:ascii="宋体" w:hAnsi="宋体" w:eastAsia="宋体" w:cs="宋体"/>
          <w:kern w:val="0"/>
          <w:sz w:val="24"/>
          <w:szCs w:val="24"/>
        </w:rPr>
        <w:t>符合国家相关要求；实训室等购置类项目按照政府采购要求，选择质量可靠，符合国家标准的设备设施，有效改善并提高单位公共服务能力。</w:t>
      </w:r>
    </w:p>
    <w:p>
      <w:pPr>
        <w:numPr>
          <w:ilvl w:val="0"/>
          <w:numId w:val="4"/>
        </w:numPr>
        <w:spacing w:line="360" w:lineRule="auto"/>
        <w:ind w:left="0" w:leftChars="0" w:firstLine="480" w:firstLineChars="200"/>
        <w:outlineLvl w:val="2"/>
        <w:rPr>
          <w:rFonts w:hint="eastAsia" w:ascii="宋体" w:hAnsi="宋体" w:eastAsia="宋体" w:cs="宋体"/>
          <w:sz w:val="24"/>
          <w:szCs w:val="24"/>
        </w:rPr>
      </w:pPr>
      <w:bookmarkStart w:id="8" w:name="_Toc12755"/>
      <w:r>
        <w:rPr>
          <w:rFonts w:hint="eastAsia" w:ascii="宋体" w:hAnsi="宋体" w:eastAsia="宋体" w:cs="宋体"/>
          <w:sz w:val="24"/>
          <w:szCs w:val="24"/>
        </w:rPr>
        <w:t>目标合理性</w:t>
      </w:r>
      <w:bookmarkEnd w:id="8"/>
    </w:p>
    <w:p>
      <w:pPr>
        <w:numPr>
          <w:ilvl w:val="0"/>
          <w:numId w:val="0"/>
        </w:num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rPr>
        <w:t>目标设定</w:t>
      </w:r>
      <w:r>
        <w:rPr>
          <w:rFonts w:hint="eastAsia" w:ascii="宋体" w:hAnsi="宋体" w:eastAsia="宋体" w:cs="宋体"/>
          <w:kern w:val="0"/>
          <w:sz w:val="24"/>
          <w:szCs w:val="24"/>
        </w:rPr>
        <w:t>符合</w:t>
      </w:r>
      <w:r>
        <w:rPr>
          <w:rFonts w:hint="eastAsia" w:ascii="宋体" w:hAnsi="宋体" w:eastAsia="宋体" w:cs="宋体"/>
          <w:kern w:val="0"/>
          <w:sz w:val="24"/>
          <w:szCs w:val="24"/>
          <w:lang w:val="en-US" w:eastAsia="zh-CN"/>
        </w:rPr>
        <w:t>国家政策导向、</w:t>
      </w:r>
      <w:r>
        <w:rPr>
          <w:rFonts w:hint="eastAsia" w:ascii="宋体" w:hAnsi="宋体" w:eastAsia="宋体" w:cs="宋体"/>
          <w:color w:val="000000"/>
          <w:spacing w:val="0"/>
          <w:w w:val="100"/>
          <w:position w:val="0"/>
          <w:sz w:val="24"/>
          <w:szCs w:val="24"/>
          <w:highlight w:val="none"/>
          <w:u w:val="none"/>
          <w:lang w:val="en-US" w:eastAsia="zh-CN"/>
        </w:rPr>
        <w:t>产业发展</w:t>
      </w:r>
      <w:r>
        <w:rPr>
          <w:rFonts w:hint="eastAsia" w:ascii="宋体" w:hAnsi="宋体" w:eastAsia="宋体" w:cs="宋体"/>
          <w:sz w:val="24"/>
          <w:szCs w:val="24"/>
          <w:lang w:val="en-US" w:eastAsia="zh-CN"/>
        </w:rPr>
        <w:t>方向</w:t>
      </w:r>
      <w:r>
        <w:rPr>
          <w:rFonts w:hint="eastAsia" w:ascii="宋体" w:hAnsi="宋体" w:eastAsia="宋体" w:cs="宋体"/>
          <w:sz w:val="24"/>
          <w:szCs w:val="24"/>
        </w:rPr>
        <w:t>，</w:t>
      </w:r>
      <w:r>
        <w:rPr>
          <w:rFonts w:hint="eastAsia" w:ascii="宋体" w:hAnsi="宋体" w:eastAsia="宋体" w:cs="宋体"/>
          <w:sz w:val="24"/>
          <w:szCs w:val="24"/>
          <w:lang w:val="en-US" w:eastAsia="zh-CN"/>
        </w:rPr>
        <w:t>部门整体发展规划和各单位工作实际</w:t>
      </w:r>
      <w:r>
        <w:rPr>
          <w:rFonts w:hint="eastAsia" w:ascii="宋体" w:hAnsi="宋体" w:eastAsia="宋体" w:cs="宋体"/>
          <w:sz w:val="24"/>
          <w:szCs w:val="24"/>
        </w:rPr>
        <w:t>。</w:t>
      </w:r>
    </w:p>
    <w:p>
      <w:pPr>
        <w:spacing w:line="600" w:lineRule="exact"/>
        <w:ind w:firstLine="482" w:firstLineChars="200"/>
        <w:outlineLvl w:val="0"/>
        <w:rPr>
          <w:rFonts w:hint="eastAsia" w:ascii="宋体" w:hAnsi="宋体" w:eastAsia="宋体" w:cs="宋体"/>
          <w:b/>
          <w:bCs/>
          <w:color w:val="000000"/>
          <w:kern w:val="0"/>
          <w:sz w:val="24"/>
          <w:szCs w:val="24"/>
        </w:rPr>
      </w:pPr>
      <w:bookmarkStart w:id="9" w:name="_Toc12632"/>
      <w:r>
        <w:rPr>
          <w:rFonts w:hint="eastAsia" w:ascii="宋体" w:hAnsi="宋体" w:eastAsia="宋体" w:cs="宋体"/>
          <w:b/>
          <w:bCs/>
          <w:color w:val="000000"/>
          <w:kern w:val="0"/>
          <w:sz w:val="24"/>
          <w:szCs w:val="24"/>
        </w:rPr>
        <w:t>二、当年预算执行情况</w:t>
      </w:r>
      <w:bookmarkEnd w:id="9"/>
    </w:p>
    <w:p>
      <w:pPr>
        <w:spacing w:line="600" w:lineRule="exact"/>
        <w:ind w:firstLine="480" w:firstLineChars="200"/>
        <w:outlineLvl w:val="1"/>
        <w:rPr>
          <w:rFonts w:hint="eastAsia" w:ascii="宋体" w:hAnsi="宋体" w:eastAsia="宋体" w:cs="宋体"/>
          <w:color w:val="auto"/>
          <w:kern w:val="0"/>
          <w:sz w:val="24"/>
          <w:szCs w:val="24"/>
          <w:highlight w:val="none"/>
          <w:lang w:eastAsia="zh-CN"/>
        </w:rPr>
      </w:pPr>
      <w:bookmarkStart w:id="10" w:name="_Toc21579"/>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w:t>
      </w:r>
      <w:r>
        <w:rPr>
          <w:rFonts w:hint="eastAsia" w:ascii="宋体" w:hAnsi="宋体" w:eastAsia="宋体" w:cs="宋体"/>
          <w:color w:val="auto"/>
          <w:kern w:val="0"/>
          <w:sz w:val="24"/>
          <w:szCs w:val="24"/>
          <w:highlight w:val="none"/>
          <w:lang w:eastAsia="zh-CN"/>
        </w:rPr>
        <w:t>）当年预算执行情况</w:t>
      </w:r>
      <w:bookmarkEnd w:id="10"/>
    </w:p>
    <w:p>
      <w:pPr>
        <w:spacing w:line="6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2022年北京市供销合作总社全年预算数10677.437634万元，其中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基本支出预算数8097.722855万元，项目支出预算数2486.296938万元，其他支出预算数93.417841万元。资金总体支出10243.494365万元，其中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基本支出7676.480876万元，项目支出2473.677757万元，其他支出93.335732万元。预算执行率为</w:t>
      </w:r>
      <w:r>
        <w:rPr>
          <w:rFonts w:hint="eastAsia" w:ascii="宋体" w:hAnsi="宋体" w:eastAsia="宋体" w:cs="宋体"/>
          <w:color w:val="auto"/>
          <w:kern w:val="0"/>
          <w:sz w:val="24"/>
          <w:szCs w:val="24"/>
          <w:highlight w:val="none"/>
          <w:lang w:val="en-US" w:eastAsia="zh-CN"/>
        </w:rPr>
        <w:t>96</w:t>
      </w:r>
      <w:r>
        <w:rPr>
          <w:rFonts w:hint="eastAsia" w:ascii="宋体" w:hAnsi="宋体" w:eastAsia="宋体" w:cs="宋体"/>
          <w:color w:val="auto"/>
          <w:kern w:val="0"/>
          <w:sz w:val="24"/>
          <w:szCs w:val="24"/>
          <w:highlight w:val="none"/>
        </w:rPr>
        <w:t>%。</w:t>
      </w:r>
    </w:p>
    <w:p>
      <w:pPr>
        <w:spacing w:line="6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2022年市社本级全年预算数290万元，其中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基本支出预算数0万元，项目支出预算数290万元，其他支出预算数0万元。资金总体支出290万元，其中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基本支出0万元，项目支出290万元，其他支出0万元。预算执行率为100%。</w:t>
      </w:r>
    </w:p>
    <w:p>
      <w:pPr>
        <w:spacing w:line="6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2022年北京市经贸高级技术学校全年预算数6157.864499万元，其中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基本支出预算数4458.244442万元，项目支出预算数1631.830551万元，其他支出预算数67.789506万元。资金总体支出5949.516409万元，其中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基本支出4262.528042万元，项目支出1619.280970万元，其他支出67.707397万元。预算执行率为97%。</w:t>
      </w:r>
    </w:p>
    <w:p>
      <w:pPr>
        <w:spacing w:line="6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2022年北京市供销学校全年预算数2978.712973万元，其中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基本支出预算数2388.618251万元，项目支出预算数564.466387万元，其他支出预算数25.628335万元。资金总体支出2844.438031万元，其中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基本支出2254.412909万元，项目支出564.396787万元，其他支出25.628335万元。预算执行率为95%。</w:t>
      </w:r>
    </w:p>
    <w:p>
      <w:pPr>
        <w:spacing w:line="6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2022年北京市供销干部学校全年预算数1250.860162万元，其中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基本支出预算数1250.860162万元，项目支出预算数0万元，其他支出预算数0万元。资金总体支出1159.539925万元，其中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基本支出1159.539925万元，项目支出0万元，其他支出0万元。预算执行率为93%。</w:t>
      </w:r>
    </w:p>
    <w:p>
      <w:pPr>
        <w:pStyle w:val="17"/>
        <w:rPr>
          <w:rFonts w:hint="eastAsia" w:ascii="宋体" w:hAnsi="宋体" w:eastAsia="宋体" w:cs="宋体"/>
          <w:color w:val="auto"/>
          <w:kern w:val="0"/>
          <w:sz w:val="24"/>
          <w:szCs w:val="24"/>
          <w:highlight w:val="none"/>
        </w:rPr>
      </w:pPr>
    </w:p>
    <w:p>
      <w:pPr>
        <w:snapToGrid w:val="0"/>
        <w:spacing w:line="520" w:lineRule="exact"/>
        <w:ind w:firstLine="480" w:firstLineChars="200"/>
        <w:jc w:val="center"/>
        <w:rPr>
          <w:rFonts w:hint="eastAsia" w:ascii="宋体" w:hAnsi="宋体" w:eastAsia="宋体" w:cs="宋体"/>
          <w:b w:val="0"/>
          <w:bCs/>
          <w:i w:val="0"/>
          <w:color w:val="000000"/>
          <w:kern w:val="0"/>
          <w:sz w:val="24"/>
          <w:szCs w:val="24"/>
          <w:u w:val="none"/>
          <w:lang w:val="en-US" w:eastAsia="zh-CN" w:bidi="ar"/>
        </w:rPr>
      </w:pPr>
      <w:r>
        <w:rPr>
          <w:rFonts w:hint="eastAsia" w:ascii="宋体" w:hAnsi="宋体" w:eastAsia="宋体" w:cs="宋体"/>
          <w:b w:val="0"/>
          <w:bCs/>
          <w:i w:val="0"/>
          <w:color w:val="000000"/>
          <w:kern w:val="0"/>
          <w:sz w:val="24"/>
          <w:szCs w:val="24"/>
          <w:u w:val="none"/>
          <w:lang w:val="en-US" w:eastAsia="zh-CN" w:bidi="ar"/>
        </w:rPr>
        <w:t>表1：收入预、决算执行情况表</w:t>
      </w:r>
    </w:p>
    <w:p>
      <w:pPr>
        <w:pStyle w:val="2"/>
        <w:ind w:firstLine="7380" w:firstLineChars="4100"/>
        <w:jc w:val="right"/>
        <w:rPr>
          <w:rFonts w:hint="eastAsia" w:ascii="宋体" w:hAnsi="宋体" w:eastAsia="宋体" w:cs="宋体"/>
          <w:sz w:val="18"/>
          <w:szCs w:val="18"/>
        </w:rPr>
      </w:pPr>
      <w:r>
        <w:rPr>
          <w:rFonts w:hint="eastAsia" w:ascii="宋体" w:hAnsi="宋体" w:eastAsia="宋体" w:cs="宋体"/>
          <w:sz w:val="18"/>
          <w:szCs w:val="18"/>
          <w:lang w:val="en-US" w:eastAsia="zh-CN"/>
        </w:rPr>
        <w:t>单位：万元</w:t>
      </w:r>
    </w:p>
    <w:tbl>
      <w:tblPr>
        <w:tblStyle w:val="12"/>
        <w:tblW w:w="8491"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16"/>
        <w:gridCol w:w="1737"/>
        <w:gridCol w:w="1638"/>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0"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10264.332745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10264.332745 </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275.939637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275.939637 </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93.417841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93.417841 </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1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14.807335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14.807335 </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73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10648.497558 </w:t>
            </w:r>
          </w:p>
        </w:tc>
        <w:tc>
          <w:tcPr>
            <w:tcW w:w="163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10648.497558 </w:t>
            </w:r>
          </w:p>
        </w:tc>
        <w:tc>
          <w:tcPr>
            <w:tcW w:w="15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使用非财政拨款结余</w:t>
            </w:r>
          </w:p>
        </w:tc>
        <w:tc>
          <w:tcPr>
            <w:tcW w:w="17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6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年初结转和结余</w:t>
            </w:r>
          </w:p>
        </w:tc>
        <w:tc>
          <w:tcPr>
            <w:tcW w:w="17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28.940076 </w:t>
            </w:r>
          </w:p>
        </w:tc>
        <w:tc>
          <w:tcPr>
            <w:tcW w:w="16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rPr>
            </w:pP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1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w:t>
            </w:r>
          </w:p>
        </w:tc>
        <w:tc>
          <w:tcPr>
            <w:tcW w:w="173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10677.437634 </w:t>
            </w:r>
          </w:p>
        </w:tc>
        <w:tc>
          <w:tcPr>
            <w:tcW w:w="163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10677.437634 </w:t>
            </w:r>
          </w:p>
        </w:tc>
        <w:tc>
          <w:tcPr>
            <w:tcW w:w="15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bl>
    <w:p>
      <w:pPr>
        <w:pStyle w:val="2"/>
      </w:pPr>
    </w:p>
    <w:p>
      <w:pPr>
        <w:snapToGrid w:val="0"/>
        <w:spacing w:line="520" w:lineRule="exact"/>
        <w:ind w:firstLine="2400" w:firstLineChars="1000"/>
        <w:jc w:val="both"/>
        <w:rPr>
          <w:rFonts w:hint="eastAsia" w:ascii="宋体" w:hAnsi="宋体" w:eastAsia="宋体" w:cs="宋体"/>
          <w:b w:val="0"/>
          <w:bCs/>
          <w:i w:val="0"/>
          <w:color w:val="000000"/>
          <w:kern w:val="0"/>
          <w:sz w:val="24"/>
          <w:szCs w:val="24"/>
          <w:u w:val="none"/>
          <w:lang w:val="en-US" w:eastAsia="zh-CN" w:bidi="ar"/>
        </w:rPr>
      </w:pPr>
      <w:r>
        <w:rPr>
          <w:rFonts w:hint="eastAsia" w:ascii="宋体" w:hAnsi="宋体" w:eastAsia="宋体" w:cs="宋体"/>
          <w:b w:val="0"/>
          <w:bCs/>
          <w:i w:val="0"/>
          <w:color w:val="000000"/>
          <w:kern w:val="0"/>
          <w:sz w:val="24"/>
          <w:szCs w:val="24"/>
          <w:u w:val="none"/>
          <w:lang w:val="en-US" w:eastAsia="zh-CN" w:bidi="ar"/>
        </w:rPr>
        <w:t xml:space="preserve">     表2：支出预、决算执行情况表        </w:t>
      </w:r>
    </w:p>
    <w:p>
      <w:pPr>
        <w:snapToGrid w:val="0"/>
        <w:spacing w:line="520" w:lineRule="exact"/>
        <w:ind w:firstLine="480" w:firstLineChars="200"/>
        <w:jc w:val="center"/>
        <w:rPr>
          <w:rFonts w:hint="eastAsia" w:ascii="宋体" w:hAnsi="宋体" w:eastAsia="宋体" w:cs="宋体"/>
          <w:sz w:val="18"/>
          <w:szCs w:val="18"/>
        </w:rPr>
      </w:pPr>
      <w:r>
        <w:rPr>
          <w:rFonts w:hint="eastAsia" w:ascii="宋体" w:hAnsi="宋体" w:eastAsia="宋体" w:cs="宋体"/>
          <w:b w:val="0"/>
          <w:bCs/>
          <w:i w:val="0"/>
          <w:color w:val="000000"/>
          <w:kern w:val="0"/>
          <w:sz w:val="24"/>
          <w:szCs w:val="24"/>
          <w:u w:val="none"/>
          <w:lang w:val="en-US" w:eastAsia="zh-CN" w:bidi="ar"/>
        </w:rPr>
        <w:t xml:space="preserve">                                                        </w:t>
      </w:r>
      <w:r>
        <w:rPr>
          <w:rFonts w:hint="eastAsia" w:ascii="宋体" w:hAnsi="宋体" w:eastAsia="宋体" w:cs="宋体"/>
          <w:b w:val="0"/>
          <w:bCs/>
          <w:i w:val="0"/>
          <w:color w:val="000000"/>
          <w:kern w:val="0"/>
          <w:sz w:val="18"/>
          <w:szCs w:val="18"/>
          <w:u w:val="none"/>
          <w:lang w:val="en-US" w:eastAsia="zh-CN" w:bidi="ar"/>
        </w:rPr>
        <w:t xml:space="preserve">  </w:t>
      </w:r>
      <w:r>
        <w:rPr>
          <w:rFonts w:hint="eastAsia" w:ascii="宋体" w:hAnsi="宋体" w:eastAsia="宋体" w:cs="宋体"/>
          <w:sz w:val="18"/>
          <w:szCs w:val="18"/>
          <w:lang w:val="en-US" w:eastAsia="zh-CN"/>
        </w:rPr>
        <w:t>单位：万元</w:t>
      </w:r>
    </w:p>
    <w:tbl>
      <w:tblPr>
        <w:tblStyle w:val="12"/>
        <w:tblW w:w="847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03"/>
        <w:gridCol w:w="1750"/>
        <w:gridCol w:w="1638"/>
        <w:gridCol w:w="1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2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项目(按支出性质和经济分类)</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决算数</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一、基本支出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8097.722855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7676.480876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6661.420518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6310.360706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1436.302337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1366.120170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二、项目支出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2486.296938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2473.677757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其中：基本建设类项目</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三、上缴上级支出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四、经营支出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93.417841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93.335732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五、对附属单位补助支出</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本年支出合计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10677.437634 </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10243.494365 </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r>
    </w:tbl>
    <w:p>
      <w:pPr>
        <w:spacing w:line="600" w:lineRule="exact"/>
        <w:ind w:left="105" w:leftChars="50" w:firstLine="300" w:firstLineChars="150"/>
        <w:outlineLvl w:val="9"/>
        <w:rPr>
          <w:rFonts w:hint="eastAsia" w:ascii="宋体" w:hAnsi="宋体" w:eastAsia="宋体" w:cs="宋体"/>
          <w:color w:val="000000"/>
          <w:kern w:val="0"/>
          <w:sz w:val="20"/>
          <w:szCs w:val="20"/>
          <w:highlight w:val="none"/>
        </w:rPr>
      </w:pPr>
    </w:p>
    <w:p>
      <w:pPr>
        <w:snapToGrid w:val="0"/>
        <w:spacing w:line="520" w:lineRule="exact"/>
        <w:ind w:firstLine="480" w:firstLineChars="200"/>
        <w:jc w:val="center"/>
        <w:rPr>
          <w:rFonts w:hint="eastAsia" w:ascii="宋体" w:hAnsi="宋体" w:eastAsia="宋体" w:cs="宋体"/>
          <w:b w:val="0"/>
          <w:bCs/>
          <w:i w:val="0"/>
          <w:color w:val="000000"/>
          <w:kern w:val="0"/>
          <w:sz w:val="24"/>
          <w:szCs w:val="24"/>
          <w:u w:val="none"/>
          <w:lang w:val="en-US" w:eastAsia="zh-CN" w:bidi="ar"/>
        </w:rPr>
      </w:pPr>
      <w:r>
        <w:rPr>
          <w:rFonts w:hint="eastAsia" w:ascii="宋体" w:hAnsi="宋体" w:eastAsia="宋体" w:cs="宋体"/>
          <w:b w:val="0"/>
          <w:bCs/>
          <w:i w:val="0"/>
          <w:color w:val="000000"/>
          <w:kern w:val="0"/>
          <w:sz w:val="24"/>
          <w:szCs w:val="24"/>
          <w:u w:val="none"/>
          <w:lang w:val="en-US" w:eastAsia="zh-CN" w:bidi="ar"/>
        </w:rPr>
        <w:t>表3：各单位收入支出明细表</w:t>
      </w:r>
    </w:p>
    <w:p>
      <w:pPr>
        <w:pStyle w:val="17"/>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单位：万元</w:t>
      </w:r>
    </w:p>
    <w:tbl>
      <w:tblPr>
        <w:tblStyle w:val="12"/>
        <w:tblW w:w="850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03"/>
        <w:gridCol w:w="1750"/>
        <w:gridCol w:w="1613"/>
        <w:gridCol w:w="15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3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49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全年预算数</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决算</w:t>
            </w:r>
            <w:r>
              <w:rPr>
                <w:rFonts w:hint="eastAsia" w:ascii="宋体" w:hAnsi="宋体" w:cs="宋体"/>
                <w:i w:val="0"/>
                <w:iCs w:val="0"/>
                <w:color w:val="000000"/>
                <w:kern w:val="0"/>
                <w:sz w:val="20"/>
                <w:szCs w:val="20"/>
                <w:u w:val="none"/>
                <w:lang w:val="en-US" w:eastAsia="zh-CN" w:bidi="ar"/>
              </w:rPr>
              <w:t>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市社本级</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290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经贸学校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6157.140191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6157.140191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供销学校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2978.432115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2978.432115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供销干校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1250.860162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1222.925252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10676.432468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10648.497558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49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全年预算数</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决算</w:t>
            </w:r>
            <w:r>
              <w:rPr>
                <w:rFonts w:hint="eastAsia" w:ascii="宋体" w:hAnsi="宋体" w:cs="宋体"/>
                <w:i w:val="0"/>
                <w:iCs w:val="0"/>
                <w:color w:val="000000"/>
                <w:kern w:val="0"/>
                <w:sz w:val="20"/>
                <w:szCs w:val="20"/>
                <w:u w:val="none"/>
                <w:lang w:val="en-US" w:eastAsia="zh-CN" w:bidi="ar"/>
              </w:rPr>
              <w:t>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市社本级</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经贸学校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6157.864499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5949.516409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供销学校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2978.712973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2844.438031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供销干校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1250.860162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1159.539925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3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10677.437634 </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10243.494365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r>
    </w:tbl>
    <w:p>
      <w:pPr>
        <w:pStyle w:val="17"/>
        <w:rPr>
          <w:rFonts w:hint="eastAsia" w:ascii="仿宋_GB2312" w:hAnsi="仿宋" w:eastAsia="仿宋_GB2312"/>
          <w:sz w:val="20"/>
          <w:szCs w:val="20"/>
          <w:lang w:val="en-US" w:eastAsia="zh-CN"/>
        </w:rPr>
      </w:pPr>
    </w:p>
    <w:p>
      <w:pPr>
        <w:snapToGrid w:val="0"/>
        <w:spacing w:line="520" w:lineRule="exact"/>
        <w:ind w:firstLine="240" w:firstLineChars="100"/>
        <w:outlineLvl w:val="1"/>
        <w:rPr>
          <w:rFonts w:hint="eastAsia" w:ascii="宋体" w:hAnsi="宋体" w:eastAsia="宋体" w:cs="宋体"/>
          <w:sz w:val="24"/>
          <w:szCs w:val="24"/>
        </w:rPr>
      </w:pPr>
      <w:bookmarkStart w:id="11" w:name="_Toc31259"/>
      <w:r>
        <w:rPr>
          <w:rFonts w:hint="eastAsia" w:ascii="宋体" w:hAnsi="宋体" w:eastAsia="宋体" w:cs="宋体"/>
          <w:sz w:val="24"/>
          <w:szCs w:val="24"/>
        </w:rPr>
        <w:t>（</w:t>
      </w:r>
      <w:r>
        <w:rPr>
          <w:rFonts w:hint="eastAsia" w:ascii="宋体" w:hAnsi="宋体" w:cs="宋体"/>
          <w:sz w:val="24"/>
          <w:szCs w:val="24"/>
          <w:lang w:val="en-US" w:eastAsia="zh-CN"/>
        </w:rPr>
        <w:t>二</w:t>
      </w:r>
      <w:r>
        <w:rPr>
          <w:rFonts w:hint="eastAsia" w:ascii="宋体" w:hAnsi="宋体" w:eastAsia="宋体" w:cs="宋体"/>
          <w:sz w:val="24"/>
          <w:szCs w:val="24"/>
        </w:rPr>
        <w:t>）差异原因分析</w:t>
      </w:r>
      <w:bookmarkEnd w:id="11"/>
    </w:p>
    <w:p>
      <w:pPr>
        <w:snapToGrid w:val="0"/>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市社本级：年初未报预算，根据京财经建指[2022]2170号文件，追加“供销社定额补助290万元。</w:t>
      </w:r>
    </w:p>
    <w:p>
      <w:pPr>
        <w:snapToGrid w:val="0"/>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三校形成差异的主要原因是结转和结余资金。一是年中市财政局追加人员绩效工资形成的人员经费结转资金，以及三公经费结余资金；二是项目经费形成的结余资金。</w:t>
      </w:r>
    </w:p>
    <w:p>
      <w:pPr>
        <w:spacing w:line="360" w:lineRule="auto"/>
        <w:ind w:left="105" w:leftChars="50" w:firstLine="361" w:firstLineChars="150"/>
        <w:outlineLvl w:val="0"/>
        <w:rPr>
          <w:rFonts w:hint="eastAsia" w:ascii="宋体" w:hAnsi="宋体" w:eastAsia="宋体" w:cs="宋体"/>
          <w:b/>
          <w:bCs/>
          <w:color w:val="000000"/>
          <w:kern w:val="0"/>
          <w:sz w:val="24"/>
          <w:szCs w:val="24"/>
          <w:highlight w:val="none"/>
        </w:rPr>
      </w:pPr>
      <w:bookmarkStart w:id="12" w:name="_Toc17191"/>
      <w:r>
        <w:rPr>
          <w:rFonts w:hint="eastAsia" w:ascii="宋体" w:hAnsi="宋体" w:eastAsia="宋体" w:cs="宋体"/>
          <w:b/>
          <w:bCs/>
          <w:color w:val="000000"/>
          <w:kern w:val="0"/>
          <w:sz w:val="24"/>
          <w:szCs w:val="24"/>
          <w:highlight w:val="none"/>
        </w:rPr>
        <w:t>三、整体绩效目标实现情况</w:t>
      </w:r>
      <w:bookmarkEnd w:id="12"/>
    </w:p>
    <w:p>
      <w:pPr>
        <w:spacing w:line="360" w:lineRule="auto"/>
        <w:ind w:left="105" w:leftChars="50" w:firstLine="360" w:firstLineChars="150"/>
        <w:outlineLvl w:val="1"/>
        <w:rPr>
          <w:rFonts w:hint="eastAsia" w:ascii="宋体" w:hAnsi="宋体" w:eastAsia="宋体" w:cs="宋体"/>
          <w:sz w:val="24"/>
          <w:szCs w:val="24"/>
          <w:highlight w:val="none"/>
        </w:rPr>
      </w:pPr>
      <w:bookmarkStart w:id="13" w:name="_Toc17728"/>
      <w:r>
        <w:rPr>
          <w:rFonts w:hint="eastAsia" w:ascii="宋体" w:hAnsi="宋体" w:eastAsia="宋体" w:cs="宋体"/>
          <w:sz w:val="24"/>
          <w:szCs w:val="24"/>
          <w:highlight w:val="none"/>
        </w:rPr>
        <w:t>（一）产出完成情况分析</w:t>
      </w:r>
      <w:bookmarkEnd w:id="13"/>
    </w:p>
    <w:p>
      <w:pPr>
        <w:pStyle w:val="17"/>
        <w:spacing w:line="360" w:lineRule="auto"/>
        <w:ind w:firstLine="480" w:firstLineChars="200"/>
        <w:outlineLvl w:val="2"/>
        <w:rPr>
          <w:rFonts w:hint="default" w:ascii="宋体" w:hAnsi="宋体" w:eastAsia="宋体" w:cs="宋体"/>
          <w:sz w:val="24"/>
          <w:szCs w:val="24"/>
          <w:lang w:val="en-US" w:eastAsia="zh-CN"/>
        </w:rPr>
      </w:pPr>
      <w:bookmarkStart w:id="14" w:name="_Toc16684"/>
      <w:r>
        <w:rPr>
          <w:rFonts w:hint="eastAsia" w:ascii="宋体" w:hAnsi="宋体" w:eastAsia="宋体" w:cs="宋体"/>
          <w:sz w:val="24"/>
          <w:szCs w:val="24"/>
          <w:lang w:val="en-US" w:eastAsia="zh-CN"/>
        </w:rPr>
        <w:t>1.产出数量</w:t>
      </w:r>
      <w:bookmarkEnd w:id="14"/>
    </w:p>
    <w:p>
      <w:pPr>
        <w:pStyle w:val="1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2022年，北京市供销合作总社</w:t>
      </w:r>
      <w:r>
        <w:rPr>
          <w:rFonts w:hint="eastAsia" w:ascii="宋体" w:hAnsi="宋体" w:eastAsia="宋体" w:cs="宋体"/>
          <w:sz w:val="24"/>
          <w:szCs w:val="24"/>
          <w:lang w:val="en-US" w:eastAsia="zh-CN"/>
        </w:rPr>
        <w:t>及</w:t>
      </w:r>
      <w:r>
        <w:rPr>
          <w:rFonts w:hint="eastAsia" w:ascii="宋体" w:hAnsi="宋体" w:eastAsia="宋体" w:cs="宋体"/>
          <w:sz w:val="24"/>
          <w:szCs w:val="24"/>
        </w:rPr>
        <w:t>下属北京市经贸高级技术学校、北京市供销学校、北京市供销干部学校部门项目</w:t>
      </w:r>
      <w:r>
        <w:rPr>
          <w:rFonts w:hint="eastAsia" w:ascii="宋体" w:hAnsi="宋体" w:eastAsia="宋体" w:cs="宋体"/>
          <w:sz w:val="24"/>
          <w:szCs w:val="24"/>
          <w:lang w:val="en-US" w:eastAsia="zh-CN"/>
        </w:rPr>
        <w:t>共</w:t>
      </w:r>
      <w:r>
        <w:rPr>
          <w:rFonts w:hint="eastAsia" w:ascii="宋体" w:hAnsi="宋体" w:eastAsia="宋体" w:cs="宋体"/>
          <w:sz w:val="24"/>
          <w:szCs w:val="24"/>
        </w:rPr>
        <w:t>21个，包</w:t>
      </w:r>
      <w:r>
        <w:rPr>
          <w:rFonts w:hint="eastAsia" w:ascii="宋体" w:hAnsi="宋体" w:eastAsia="宋体" w:cs="宋体"/>
          <w:sz w:val="24"/>
          <w:szCs w:val="24"/>
          <w:lang w:val="en-US" w:eastAsia="zh-CN"/>
        </w:rPr>
        <w:t>括</w:t>
      </w:r>
      <w:r>
        <w:rPr>
          <w:rFonts w:hint="eastAsia" w:ascii="宋体" w:hAnsi="宋体" w:eastAsia="宋体" w:cs="宋体"/>
          <w:sz w:val="24"/>
          <w:szCs w:val="24"/>
        </w:rPr>
        <w:t>北京市供销合作总社本级1个，北京市经贸高级技术学校13个，北京市供销学校7个，北京市供销干部学校0个，涉及金额2473</w:t>
      </w:r>
      <w:r>
        <w:rPr>
          <w:rFonts w:hint="eastAsia" w:ascii="宋体" w:hAnsi="宋体" w:eastAsia="宋体" w:cs="宋体"/>
          <w:sz w:val="24"/>
          <w:szCs w:val="24"/>
          <w:lang w:val="en-US" w:eastAsia="zh-CN"/>
        </w:rPr>
        <w:t>.</w:t>
      </w:r>
      <w:r>
        <w:rPr>
          <w:rFonts w:hint="eastAsia" w:ascii="宋体" w:hAnsi="宋体" w:eastAsia="宋体" w:cs="宋体"/>
          <w:sz w:val="24"/>
          <w:szCs w:val="24"/>
        </w:rPr>
        <w:t>677757万元。</w:t>
      </w:r>
    </w:p>
    <w:p>
      <w:pPr>
        <w:pStyle w:val="17"/>
        <w:numPr>
          <w:ilvl w:val="0"/>
          <w:numId w:val="0"/>
        </w:numPr>
        <w:ind w:leftChars="200"/>
      </w:pPr>
    </w:p>
    <w:tbl>
      <w:tblPr>
        <w:tblStyle w:val="12"/>
        <w:tblW w:w="851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7"/>
        <w:gridCol w:w="5700"/>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8517" w:type="dxa"/>
            <w:gridSpan w:val="3"/>
            <w:tcBorders>
              <w:top w:val="nil"/>
              <w:left w:val="nil"/>
              <w:bottom w:val="nil"/>
              <w:right w:val="nil"/>
            </w:tcBorders>
            <w:shd w:val="clear" w:color="auto" w:fill="auto"/>
            <w:vAlign w:val="center"/>
          </w:tcPr>
          <w:p>
            <w:pPr>
              <w:keepNext w:val="0"/>
              <w:keepLines w:val="0"/>
              <w:widowControl/>
              <w:suppressLineNumbers w:val="0"/>
              <w:ind w:firstLine="1540" w:firstLineChars="700"/>
              <w:jc w:val="both"/>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表</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：北京市供销合作总社</w:t>
            </w:r>
            <w:r>
              <w:rPr>
                <w:rFonts w:hint="eastAsia" w:ascii="宋体" w:hAnsi="宋体" w:cs="宋体"/>
                <w:i w:val="0"/>
                <w:iCs w:val="0"/>
                <w:color w:val="000000"/>
                <w:kern w:val="0"/>
                <w:sz w:val="22"/>
                <w:szCs w:val="22"/>
                <w:u w:val="none"/>
                <w:lang w:val="en-US" w:eastAsia="zh-CN" w:bidi="ar"/>
              </w:rPr>
              <w:t xml:space="preserve">              </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2183.677757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商业服务业等支出</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6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2473.677757</w:t>
            </w:r>
          </w:p>
        </w:tc>
      </w:tr>
    </w:tbl>
    <w:p>
      <w:pPr>
        <w:pStyle w:val="17"/>
        <w:numPr>
          <w:ilvl w:val="0"/>
          <w:numId w:val="0"/>
        </w:numPr>
        <w:ind w:leftChars="200"/>
      </w:pPr>
    </w:p>
    <w:tbl>
      <w:tblPr>
        <w:tblStyle w:val="12"/>
        <w:tblW w:w="849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2"/>
        <w:gridCol w:w="5713"/>
        <w:gridCol w:w="17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8499" w:type="dxa"/>
            <w:gridSpan w:val="3"/>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表</w:t>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：北京市供销合作总社（本级）</w:t>
            </w:r>
            <w:r>
              <w:rPr>
                <w:rFonts w:hint="eastAsia" w:ascii="宋体" w:hAnsi="宋体" w:cs="宋体"/>
                <w:i w:val="0"/>
                <w:iCs w:val="0"/>
                <w:color w:val="000000"/>
                <w:kern w:val="0"/>
                <w:sz w:val="22"/>
                <w:szCs w:val="22"/>
                <w:u w:val="none"/>
                <w:lang w:val="en-US" w:eastAsia="zh-CN" w:bidi="ar"/>
              </w:rPr>
              <w:t xml:space="preserve">    </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供销社定额补助（费用补贴）</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6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r>
    </w:tbl>
    <w:p>
      <w:pPr>
        <w:pStyle w:val="17"/>
        <w:numPr>
          <w:ilvl w:val="0"/>
          <w:numId w:val="0"/>
        </w:numPr>
        <w:ind w:leftChars="200"/>
      </w:pPr>
    </w:p>
    <w:tbl>
      <w:tblPr>
        <w:tblStyle w:val="12"/>
        <w:tblW w:w="8511"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2"/>
        <w:gridCol w:w="5713"/>
        <w:gridCol w:w="1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8511" w:type="dxa"/>
            <w:gridSpan w:val="3"/>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表</w:t>
            </w: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：北京市经贸高级技术学校</w:t>
            </w:r>
            <w:r>
              <w:rPr>
                <w:rFonts w:hint="eastAsia" w:ascii="宋体" w:hAnsi="宋体" w:cs="宋体"/>
                <w:i w:val="0"/>
                <w:iCs w:val="0"/>
                <w:color w:val="000000"/>
                <w:kern w:val="0"/>
                <w:sz w:val="22"/>
                <w:szCs w:val="22"/>
                <w:u w:val="none"/>
                <w:lang w:val="en-US" w:eastAsia="zh-CN" w:bidi="ar"/>
              </w:rPr>
              <w:t xml:space="preserve">      </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公务用车购置项目</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专业咨询类项目</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中等职业教育助学金项目</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家具设计与制造专业实训室建设项目</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165.589742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10号楼太阳能热水洗浴设备建设工程</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164.855045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中水站MBR反应池设备更换及其他修缮工程</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88.756361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特高项目奇虎360网络安全服务工程师学院建设项目</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9号楼小剧场修缮改造</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139.497855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3号楼安全修缮改造工程</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257.175083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特高项目金色摇篮幼教学院</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123.347075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机动经费</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燃气管道接入及锅炉改造工程</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128.265206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7号楼修缮工程尾款</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77.385603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6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1619.28097</w:t>
            </w:r>
          </w:p>
        </w:tc>
      </w:tr>
    </w:tbl>
    <w:p>
      <w:pPr>
        <w:pStyle w:val="17"/>
        <w:numPr>
          <w:ilvl w:val="0"/>
          <w:numId w:val="0"/>
        </w:numPr>
        <w:ind w:leftChars="200"/>
      </w:pPr>
    </w:p>
    <w:tbl>
      <w:tblPr>
        <w:tblStyle w:val="12"/>
        <w:tblW w:w="849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2"/>
        <w:gridCol w:w="5724"/>
        <w:gridCol w:w="1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8499" w:type="dxa"/>
            <w:gridSpan w:val="3"/>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表</w:t>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：北京市供销学校</w:t>
            </w:r>
            <w:r>
              <w:rPr>
                <w:rFonts w:hint="eastAsia" w:ascii="宋体" w:hAnsi="宋体" w:cs="宋体"/>
                <w:i w:val="0"/>
                <w:iCs w:val="0"/>
                <w:color w:val="000000"/>
                <w:kern w:val="0"/>
                <w:sz w:val="22"/>
                <w:szCs w:val="22"/>
                <w:u w:val="none"/>
                <w:lang w:val="en-US" w:eastAsia="zh-CN" w:bidi="ar"/>
              </w:rPr>
              <w:t xml:space="preserve">  </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项目(按功能分类)</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信息系统运维类项目</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专业咨询类项目</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中等职业教育助学金项目</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信息应用创新多功能计算机实训室改造项目</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电子商务专业直播实训室建设</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摄影摄像后期制作实训室建设</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159.92456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机动经费</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112.738227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0" w:hRule="atLeast"/>
        </w:trPr>
        <w:tc>
          <w:tcPr>
            <w:tcW w:w="6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564.396787</w:t>
            </w:r>
          </w:p>
        </w:tc>
      </w:tr>
    </w:tbl>
    <w:p>
      <w:pPr>
        <w:pStyle w:val="17"/>
        <w:numPr>
          <w:ilvl w:val="0"/>
          <w:numId w:val="0"/>
        </w:numPr>
      </w:pPr>
    </w:p>
    <w:p>
      <w:pPr>
        <w:widowControl/>
        <w:numPr>
          <w:ilvl w:val="0"/>
          <w:numId w:val="0"/>
        </w:numPr>
        <w:spacing w:line="360" w:lineRule="auto"/>
        <w:ind w:firstLine="720" w:firstLineChars="300"/>
        <w:jc w:val="left"/>
        <w:outlineLvl w:val="2"/>
        <w:rPr>
          <w:rFonts w:hint="eastAsia" w:ascii="宋体" w:hAnsi="宋体" w:eastAsia="宋体" w:cs="宋体"/>
          <w:kern w:val="0"/>
          <w:sz w:val="24"/>
          <w:szCs w:val="24"/>
          <w:lang w:val="en-US" w:eastAsia="zh-CN"/>
        </w:rPr>
      </w:pPr>
      <w:bookmarkStart w:id="15" w:name="_Toc14577"/>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产出质量</w:t>
      </w:r>
      <w:bookmarkEnd w:id="15"/>
    </w:p>
    <w:p>
      <w:pPr>
        <w:pStyle w:val="2"/>
        <w:numPr>
          <w:ilvl w:val="0"/>
          <w:numId w:val="0"/>
        </w:numPr>
        <w:ind w:firstLine="480" w:firstLineChars="200"/>
        <w:rPr>
          <w:rFonts w:hint="default"/>
          <w:lang w:val="en-US" w:eastAsia="zh-CN"/>
        </w:rPr>
      </w:pPr>
      <w:r>
        <w:rPr>
          <w:rFonts w:hint="eastAsia"/>
          <w:lang w:val="en-US" w:eastAsia="zh-CN"/>
        </w:rPr>
        <w:t>部门各项目符合相关建设要求，竣工验收合格。</w:t>
      </w:r>
    </w:p>
    <w:p>
      <w:pPr>
        <w:widowControl/>
        <w:numPr>
          <w:ilvl w:val="0"/>
          <w:numId w:val="0"/>
        </w:numPr>
        <w:spacing w:line="360" w:lineRule="auto"/>
        <w:ind w:firstLine="720" w:firstLineChars="300"/>
        <w:jc w:val="left"/>
        <w:outlineLvl w:val="2"/>
        <w:rPr>
          <w:rFonts w:hint="eastAsia" w:ascii="宋体" w:hAnsi="宋体" w:eastAsia="宋体" w:cs="宋体"/>
          <w:kern w:val="0"/>
          <w:sz w:val="24"/>
          <w:szCs w:val="24"/>
        </w:rPr>
      </w:pPr>
      <w:bookmarkStart w:id="16" w:name="_Toc30831"/>
      <w:r>
        <w:rPr>
          <w:rFonts w:hint="eastAsia" w:ascii="宋体" w:hAnsi="宋体" w:cs="宋体"/>
          <w:kern w:val="0"/>
          <w:sz w:val="24"/>
          <w:szCs w:val="24"/>
          <w:lang w:val="en-US" w:eastAsia="zh-CN"/>
        </w:rPr>
        <w:t>3.</w:t>
      </w:r>
      <w:r>
        <w:rPr>
          <w:rFonts w:hint="eastAsia" w:ascii="宋体" w:hAnsi="宋体" w:eastAsia="宋体" w:cs="宋体"/>
          <w:kern w:val="0"/>
          <w:sz w:val="24"/>
          <w:szCs w:val="24"/>
        </w:rPr>
        <w:t>产出进度</w:t>
      </w:r>
      <w:bookmarkEnd w:id="16"/>
    </w:p>
    <w:p>
      <w:pPr>
        <w:pStyle w:val="2"/>
        <w:numPr>
          <w:ilvl w:val="0"/>
          <w:numId w:val="0"/>
        </w:numPr>
        <w:ind w:firstLine="480" w:firstLineChars="200"/>
        <w:rPr>
          <w:rFonts w:hint="default"/>
          <w:lang w:val="en-US"/>
        </w:rPr>
      </w:pPr>
      <w:r>
        <w:rPr>
          <w:rFonts w:hint="eastAsia"/>
          <w:lang w:val="en-US" w:eastAsia="zh-CN"/>
        </w:rPr>
        <w:t>下列项目因疫情原因实际执行时间与</w:t>
      </w:r>
      <w:r>
        <w:rPr>
          <w:rFonts w:hint="eastAsia" w:ascii="宋体" w:hAnsi="宋体" w:eastAsia="宋体" w:cs="宋体"/>
          <w:kern w:val="0"/>
          <w:sz w:val="24"/>
          <w:szCs w:val="24"/>
          <w:lang w:val="en-US" w:eastAsia="zh-CN" w:bidi="ar-SA"/>
        </w:rPr>
        <w:t>计划</w:t>
      </w:r>
      <w:r>
        <w:rPr>
          <w:rFonts w:hint="eastAsia" w:hAnsi="宋体" w:cs="宋体"/>
          <w:kern w:val="0"/>
          <w:sz w:val="24"/>
          <w:szCs w:val="24"/>
          <w:lang w:val="en-US" w:eastAsia="zh-CN" w:bidi="ar-SA"/>
        </w:rPr>
        <w:t>时间</w:t>
      </w:r>
      <w:r>
        <w:rPr>
          <w:rFonts w:hint="eastAsia" w:ascii="宋体" w:hAnsi="宋体" w:eastAsia="宋体" w:cs="宋体"/>
          <w:kern w:val="0"/>
          <w:sz w:val="24"/>
          <w:szCs w:val="24"/>
          <w:lang w:val="en-US" w:eastAsia="zh-CN" w:bidi="ar-SA"/>
        </w:rPr>
        <w:t>有所滞后。</w:t>
      </w:r>
    </w:p>
    <w:p>
      <w:pPr>
        <w:pStyle w:val="2"/>
        <w:spacing w:line="360" w:lineRule="auto"/>
        <w:ind w:left="0" w:leftChars="0"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北京市经贸高级技术学校</w:t>
      </w:r>
      <w:r>
        <w:rPr>
          <w:rFonts w:hint="eastAsia" w:ascii="宋体" w:hAnsi="宋体" w:eastAsia="宋体" w:cs="宋体"/>
          <w:sz w:val="24"/>
          <w:szCs w:val="24"/>
        </w:rPr>
        <w:t>特高项目奇虎360网络安全服务工程师学院建设项目</w:t>
      </w:r>
      <w:r>
        <w:rPr>
          <w:rFonts w:hint="eastAsia" w:ascii="宋体" w:hAnsi="宋体" w:eastAsia="宋体" w:cs="宋体"/>
          <w:sz w:val="24"/>
          <w:szCs w:val="24"/>
          <w:lang w:eastAsia="zh-CN"/>
        </w:rPr>
        <w:t>，因调整财政经费支出结构，未调整年度指标，造成该项经费延期至2023年执行，所以指标值计划2023年完成。</w:t>
      </w:r>
      <w:r>
        <w:rPr>
          <w:rFonts w:hint="eastAsia" w:ascii="宋体" w:hAnsi="宋体" w:eastAsia="宋体" w:cs="宋体"/>
          <w:kern w:val="0"/>
          <w:sz w:val="24"/>
          <w:szCs w:val="24"/>
          <w:lang w:val="en-US" w:eastAsia="zh-CN" w:bidi="ar-SA"/>
        </w:rPr>
        <w:t>该项目的验收、培训计划在2022年9月30日前完成，但因疫情原因，部分货物不能及时到货，项目延期验收至12月。</w:t>
      </w:r>
    </w:p>
    <w:p>
      <w:pPr>
        <w:pStyle w:val="2"/>
        <w:spacing w:line="360" w:lineRule="auto"/>
        <w:ind w:left="0" w:leftChars="0"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hint="eastAsia" w:ascii="宋体" w:hAnsi="宋体" w:eastAsia="宋体" w:cs="宋体"/>
          <w:sz w:val="24"/>
          <w:szCs w:val="24"/>
          <w:lang w:val="en-US" w:eastAsia="zh-CN"/>
        </w:rPr>
        <w:t>北京市经贸高级技术学校</w:t>
      </w:r>
      <w:r>
        <w:rPr>
          <w:rFonts w:hint="eastAsia" w:ascii="宋体" w:hAnsi="宋体" w:eastAsia="宋体" w:cs="宋体"/>
          <w:kern w:val="0"/>
          <w:sz w:val="24"/>
          <w:szCs w:val="24"/>
          <w:lang w:val="en-US" w:eastAsia="zh-CN" w:bidi="ar-SA"/>
        </w:rPr>
        <w:t>3号楼安全修缮改造工程，计划招标采购时间为2022年5月前，因疫情原因实际招标时间为2022年6月，比计划有所滞后。</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SA"/>
        </w:rPr>
        <w:t>（3）</w:t>
      </w:r>
      <w:r>
        <w:rPr>
          <w:rFonts w:hint="eastAsia" w:ascii="宋体" w:hAnsi="宋体" w:eastAsia="宋体" w:cs="宋体"/>
          <w:sz w:val="24"/>
          <w:szCs w:val="24"/>
          <w:lang w:val="en-US" w:eastAsia="zh-CN"/>
        </w:rPr>
        <w:t>北京市经贸高级技术学校</w:t>
      </w:r>
      <w:r>
        <w:rPr>
          <w:rFonts w:hint="eastAsia" w:ascii="宋体" w:hAnsi="宋体" w:eastAsia="宋体" w:cs="宋体"/>
          <w:kern w:val="0"/>
          <w:sz w:val="24"/>
          <w:szCs w:val="24"/>
          <w:lang w:val="en-US" w:eastAsia="zh-CN" w:bidi="ar-SA"/>
        </w:rPr>
        <w:t>9号楼小剧场修缮改造，计划招标采购时间2022年5月前，因疫情原因实际招标时间为2022年6月，比计划有所滞后。</w:t>
      </w:r>
    </w:p>
    <w:p>
      <w:pPr>
        <w:numPr>
          <w:ilvl w:val="0"/>
          <w:numId w:val="0"/>
        </w:numPr>
        <w:spacing w:line="360" w:lineRule="auto"/>
        <w:ind w:firstLine="480" w:firstLineChars="200"/>
        <w:outlineLvl w:val="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（4）北京市经贸高级技术学校燃气管道接入及锅炉改造工程，计划施工时间为2022年7月至9月，因疫情原因，实际施工时间为2022年10月；计划验收时间2022年10月前，实际验收时间为2022年11月，比计划有所滞后。</w:t>
      </w:r>
    </w:p>
    <w:p>
      <w:pPr>
        <w:pStyle w:val="2"/>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（5）北京市经贸高级技术学校专业咨询类项目——法律顾问服务，其中：上门咨询，参加谈判，审查、起草、修改合同，出具书面咨询意见</w:t>
      </w:r>
      <w:r>
        <w:rPr>
          <w:rFonts w:hint="eastAsia" w:hAnsi="宋体" w:cs="宋体"/>
          <w:sz w:val="24"/>
          <w:szCs w:val="24"/>
          <w:lang w:val="en-US" w:eastAsia="zh-CN"/>
        </w:rPr>
        <w:t>，</w:t>
      </w:r>
      <w:r>
        <w:rPr>
          <w:rFonts w:hint="eastAsia" w:ascii="宋体" w:hAnsi="宋体" w:eastAsia="宋体" w:cs="宋体"/>
          <w:sz w:val="24"/>
          <w:szCs w:val="24"/>
          <w:lang w:val="en-US" w:eastAsia="zh-CN"/>
        </w:rPr>
        <w:t>上门法律培训等项因疫情原因，无法持续开展。</w:t>
      </w:r>
    </w:p>
    <w:p>
      <w:pPr>
        <w:numPr>
          <w:ilvl w:val="0"/>
          <w:numId w:val="0"/>
        </w:numPr>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（6）北京市经贸高级技术学校</w:t>
      </w:r>
      <w:r>
        <w:rPr>
          <w:rFonts w:hint="eastAsia" w:ascii="宋体" w:hAnsi="宋体" w:eastAsia="宋体" w:cs="宋体"/>
          <w:kern w:val="0"/>
          <w:sz w:val="24"/>
          <w:szCs w:val="24"/>
          <w:lang w:val="en-US" w:eastAsia="zh-CN" w:bidi="ar-SA"/>
        </w:rPr>
        <w:t>中水站MBR反应池设备更换及其他修缮工程</w:t>
      </w:r>
      <w:r>
        <w:rPr>
          <w:rFonts w:hint="eastAsia" w:ascii="宋体" w:hAnsi="宋体" w:cs="宋体"/>
          <w:kern w:val="0"/>
          <w:sz w:val="24"/>
          <w:szCs w:val="24"/>
          <w:lang w:val="en-US" w:eastAsia="zh-CN" w:bidi="ar-SA"/>
        </w:rPr>
        <w:t>，</w:t>
      </w:r>
      <w:r>
        <w:rPr>
          <w:rFonts w:hint="eastAsia" w:ascii="宋体" w:hAnsi="宋体" w:eastAsia="宋体" w:cs="宋体"/>
          <w:kern w:val="0"/>
          <w:sz w:val="24"/>
          <w:szCs w:val="24"/>
          <w:lang w:val="en-US" w:eastAsia="zh-CN" w:bidi="ar-SA"/>
        </w:rPr>
        <w:t>计划招标采购时间2022年5月前，因疫情原因实际招标时间为2022年7月，比计划有所滞后。</w:t>
      </w:r>
    </w:p>
    <w:p>
      <w:pPr>
        <w:pStyle w:val="2"/>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（7）北京市供销学校专业咨询类项目——法律顾问服务，其中：上门咨询，参加谈判，审查、起草、修改合同，出具书面咨询意见，上门法律培训等项因疫情原因，无法持续开展。</w:t>
      </w:r>
    </w:p>
    <w:p>
      <w:pPr>
        <w:pStyle w:val="2"/>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（8）北京市供销学校摄影摄像后期制作实训室建设，</w:t>
      </w:r>
      <w:r>
        <w:rPr>
          <w:rFonts w:hint="eastAsia" w:ascii="宋体" w:hAnsi="宋体" w:eastAsia="宋体" w:cs="宋体"/>
          <w:kern w:val="0"/>
          <w:sz w:val="24"/>
          <w:szCs w:val="24"/>
          <w:lang w:val="en-US" w:eastAsia="zh-CN" w:bidi="ar-SA"/>
        </w:rPr>
        <w:t>计划招标采购时间2022年5月前，因疫情原因实际招标时间为2022年6月，比计划有所滞后。</w:t>
      </w:r>
      <w:r>
        <w:rPr>
          <w:rFonts w:hint="eastAsia" w:ascii="宋体" w:hAnsi="宋体" w:eastAsia="宋体" w:cs="宋体"/>
          <w:kern w:val="0"/>
          <w:sz w:val="24"/>
          <w:szCs w:val="24"/>
          <w:lang w:val="en-US" w:eastAsia="zh-CN" w:bidi="ar-SA"/>
        </w:rPr>
        <w:tab/>
      </w:r>
    </w:p>
    <w:p>
      <w:pPr>
        <w:pStyle w:val="17"/>
        <w:numPr>
          <w:ilvl w:val="0"/>
          <w:numId w:val="0"/>
        </w:numPr>
        <w:spacing w:line="360" w:lineRule="auto"/>
        <w:ind w:firstLine="480"/>
        <w:outlineLvl w:val="2"/>
        <w:rPr>
          <w:rFonts w:hint="eastAsia"/>
          <w:lang w:val="en-US" w:eastAsia="zh-CN"/>
        </w:rPr>
      </w:pPr>
      <w:bookmarkStart w:id="17" w:name="_Toc18750"/>
      <w:r>
        <w:rPr>
          <w:rFonts w:hint="eastAsia"/>
          <w:lang w:val="en-US" w:eastAsia="zh-CN"/>
        </w:rPr>
        <w:t>4.产出成本</w:t>
      </w:r>
      <w:bookmarkEnd w:id="17"/>
    </w:p>
    <w:p>
      <w:pPr>
        <w:pStyle w:val="17"/>
        <w:numPr>
          <w:ilvl w:val="0"/>
          <w:numId w:val="0"/>
        </w:numPr>
        <w:spacing w:line="360" w:lineRule="auto"/>
        <w:ind w:firstLine="480"/>
        <w:rPr>
          <w:rFonts w:hint="default"/>
          <w:lang w:val="en-US" w:eastAsia="zh-CN"/>
        </w:rPr>
      </w:pPr>
      <w:r>
        <w:rPr>
          <w:rFonts w:hint="eastAsia" w:ascii="宋体" w:hAnsi="宋体" w:eastAsia="宋体" w:cs="宋体"/>
          <w:kern w:val="0"/>
          <w:sz w:val="24"/>
          <w:szCs w:val="24"/>
          <w:lang w:val="en-US" w:eastAsia="zh-CN"/>
        </w:rPr>
        <w:t>部门各个</w:t>
      </w:r>
      <w:r>
        <w:rPr>
          <w:rFonts w:hint="eastAsia" w:ascii="宋体" w:hAnsi="宋体" w:eastAsia="宋体" w:cs="宋体"/>
          <w:kern w:val="0"/>
          <w:sz w:val="24"/>
          <w:szCs w:val="24"/>
        </w:rPr>
        <w:t>项目</w:t>
      </w:r>
      <w:r>
        <w:rPr>
          <w:rFonts w:hint="eastAsia" w:ascii="宋体" w:hAnsi="宋体" w:eastAsia="宋体" w:cs="宋体"/>
          <w:kern w:val="0"/>
          <w:sz w:val="24"/>
          <w:szCs w:val="24"/>
          <w:lang w:val="en-US" w:eastAsia="zh-CN"/>
        </w:rPr>
        <w:t>能够</w:t>
      </w:r>
      <w:r>
        <w:rPr>
          <w:rFonts w:hint="eastAsia" w:ascii="宋体" w:hAnsi="宋体" w:eastAsia="宋体" w:cs="宋体"/>
          <w:kern w:val="0"/>
          <w:sz w:val="24"/>
          <w:szCs w:val="24"/>
        </w:rPr>
        <w:t>按照批复额度控制项目成本，所有项目</w:t>
      </w:r>
      <w:r>
        <w:rPr>
          <w:rFonts w:hint="eastAsia" w:ascii="宋体" w:hAnsi="宋体" w:eastAsia="宋体" w:cs="宋体"/>
          <w:kern w:val="0"/>
          <w:sz w:val="24"/>
          <w:szCs w:val="24"/>
          <w:lang w:val="en-US" w:eastAsia="zh-CN"/>
        </w:rPr>
        <w:t>未</w:t>
      </w:r>
      <w:r>
        <w:rPr>
          <w:rFonts w:hint="eastAsia" w:ascii="宋体" w:hAnsi="宋体" w:eastAsia="宋体" w:cs="宋体"/>
          <w:kern w:val="0"/>
          <w:sz w:val="24"/>
          <w:szCs w:val="24"/>
        </w:rPr>
        <w:t>突破预算</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成本控制较好</w:t>
      </w:r>
      <w:r>
        <w:rPr>
          <w:rFonts w:hint="eastAsia" w:ascii="宋体" w:hAnsi="宋体" w:eastAsia="宋体" w:cs="宋体"/>
          <w:kern w:val="0"/>
          <w:sz w:val="24"/>
          <w:szCs w:val="24"/>
        </w:rPr>
        <w:t>。</w:t>
      </w:r>
    </w:p>
    <w:p>
      <w:pPr>
        <w:numPr>
          <w:ilvl w:val="0"/>
          <w:numId w:val="0"/>
        </w:numPr>
        <w:spacing w:line="360" w:lineRule="auto"/>
        <w:ind w:leftChars="200"/>
        <w:outlineLvl w:val="1"/>
        <w:rPr>
          <w:rFonts w:hint="eastAsia" w:ascii="宋体" w:hAnsi="宋体" w:eastAsia="宋体" w:cs="宋体"/>
          <w:sz w:val="24"/>
          <w:szCs w:val="24"/>
          <w:highlight w:val="none"/>
        </w:rPr>
      </w:pPr>
      <w:bookmarkStart w:id="18" w:name="_Toc24040"/>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效果情况分析</w:t>
      </w:r>
      <w:bookmarkEnd w:id="18"/>
    </w:p>
    <w:p>
      <w:pPr>
        <w:pStyle w:val="2"/>
        <w:numPr>
          <w:ilvl w:val="0"/>
          <w:numId w:val="5"/>
        </w:numPr>
        <w:spacing w:line="360" w:lineRule="auto"/>
        <w:outlineLvl w:val="2"/>
        <w:rPr>
          <w:rFonts w:hint="eastAsia" w:ascii="宋体" w:hAnsi="宋体" w:eastAsia="宋体" w:cs="宋体"/>
          <w:sz w:val="24"/>
          <w:szCs w:val="24"/>
          <w:highlight w:val="none"/>
        </w:rPr>
      </w:pPr>
      <w:bookmarkStart w:id="19" w:name="_Toc11223"/>
      <w:r>
        <w:rPr>
          <w:rFonts w:hint="eastAsia" w:ascii="宋体" w:hAnsi="宋体" w:eastAsia="宋体" w:cs="宋体"/>
          <w:sz w:val="24"/>
          <w:szCs w:val="24"/>
          <w:highlight w:val="none"/>
        </w:rPr>
        <w:t>经济效益</w:t>
      </w:r>
      <w:bookmarkEnd w:id="19"/>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部门整体履行职责对</w:t>
      </w:r>
      <w:r>
        <w:rPr>
          <w:rFonts w:hint="eastAsia" w:ascii="宋体" w:hAnsi="宋体" w:eastAsia="宋体" w:cs="宋体"/>
          <w:i w:val="0"/>
          <w:iCs w:val="0"/>
          <w:color w:val="000000"/>
          <w:spacing w:val="0"/>
          <w:w w:val="100"/>
          <w:kern w:val="0"/>
          <w:position w:val="0"/>
          <w:sz w:val="24"/>
          <w:szCs w:val="24"/>
          <w:u w:val="none"/>
          <w:shd w:val="clear" w:color="auto" w:fill="auto"/>
          <w:lang w:val="en-US" w:eastAsia="zh-CN" w:bidi="ar"/>
        </w:rPr>
        <w:t>改善教学条件和教学环境，提供更创新的专业培训，提高就业率，吸引招生等绩效目标的实现产生了积极影响和促进。</w:t>
      </w:r>
    </w:p>
    <w:p>
      <w:pPr>
        <w:pStyle w:val="2"/>
        <w:numPr>
          <w:ilvl w:val="0"/>
          <w:numId w:val="5"/>
        </w:numPr>
        <w:spacing w:line="360" w:lineRule="auto"/>
        <w:ind w:left="0" w:leftChars="0" w:firstLine="480" w:firstLineChars="200"/>
        <w:outlineLvl w:val="2"/>
        <w:rPr>
          <w:rFonts w:hint="eastAsia" w:ascii="宋体" w:hAnsi="宋体" w:eastAsia="宋体" w:cs="宋体"/>
          <w:sz w:val="24"/>
          <w:szCs w:val="24"/>
          <w:highlight w:val="none"/>
        </w:rPr>
      </w:pPr>
      <w:bookmarkStart w:id="20" w:name="_Toc31414"/>
      <w:r>
        <w:rPr>
          <w:rFonts w:hint="eastAsia" w:ascii="宋体" w:hAnsi="宋体" w:eastAsia="宋体" w:cs="宋体"/>
          <w:sz w:val="24"/>
          <w:szCs w:val="24"/>
          <w:highlight w:val="none"/>
        </w:rPr>
        <w:t>社会效益</w:t>
      </w:r>
      <w:bookmarkEnd w:id="20"/>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部门整体履行职责对提升学校实训环境水平，促进教学手段的创新，提升专业声誉提供了有益保障。</w:t>
      </w:r>
    </w:p>
    <w:p>
      <w:pPr>
        <w:pStyle w:val="2"/>
        <w:numPr>
          <w:ilvl w:val="0"/>
          <w:numId w:val="5"/>
        </w:numPr>
        <w:spacing w:line="360" w:lineRule="auto"/>
        <w:ind w:left="0" w:leftChars="0" w:firstLine="480" w:firstLineChars="200"/>
        <w:outlineLvl w:val="2"/>
        <w:rPr>
          <w:rFonts w:hint="eastAsia" w:ascii="宋体" w:hAnsi="宋体" w:eastAsia="宋体" w:cs="宋体"/>
          <w:sz w:val="24"/>
          <w:szCs w:val="24"/>
          <w:highlight w:val="none"/>
        </w:rPr>
      </w:pPr>
      <w:bookmarkStart w:id="21" w:name="_Toc3783"/>
      <w:r>
        <w:rPr>
          <w:rFonts w:hint="eastAsia" w:ascii="宋体" w:hAnsi="宋体" w:eastAsia="宋体" w:cs="宋体"/>
          <w:sz w:val="24"/>
          <w:szCs w:val="24"/>
          <w:highlight w:val="none"/>
        </w:rPr>
        <w:t>可持续性影响</w:t>
      </w:r>
      <w:bookmarkEnd w:id="21"/>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部门整体履行职责对学校教育教学质量、教师理论实践能力、学生技艺技能起到的持续推动和促进作用有待持续收集数据信息进行佐证。</w:t>
      </w:r>
    </w:p>
    <w:p>
      <w:pPr>
        <w:pStyle w:val="2"/>
        <w:numPr>
          <w:ilvl w:val="0"/>
          <w:numId w:val="5"/>
        </w:numPr>
        <w:spacing w:line="360" w:lineRule="auto"/>
        <w:ind w:left="0" w:leftChars="0" w:firstLine="480" w:firstLineChars="200"/>
        <w:outlineLvl w:val="2"/>
        <w:rPr>
          <w:rFonts w:hint="eastAsia" w:ascii="宋体" w:hAnsi="宋体" w:eastAsia="宋体" w:cs="宋体"/>
          <w:sz w:val="24"/>
          <w:szCs w:val="24"/>
          <w:highlight w:val="none"/>
        </w:rPr>
      </w:pPr>
      <w:bookmarkStart w:id="22" w:name="_Toc4215"/>
      <w:r>
        <w:rPr>
          <w:rFonts w:hint="eastAsia" w:ascii="宋体" w:hAnsi="宋体" w:eastAsia="宋体" w:cs="宋体"/>
          <w:sz w:val="24"/>
          <w:szCs w:val="24"/>
          <w:highlight w:val="none"/>
        </w:rPr>
        <w:t>服务对象满意度</w:t>
      </w:r>
      <w:bookmarkEnd w:id="22"/>
    </w:p>
    <w:p>
      <w:pPr>
        <w:spacing w:line="360" w:lineRule="auto"/>
        <w:ind w:firstLine="480" w:firstLineChars="200"/>
        <w:rPr>
          <w:rFonts w:hint="default" w:eastAsia="宋体"/>
          <w:lang w:val="en-US" w:eastAsia="zh-CN"/>
        </w:rPr>
      </w:pPr>
      <w:r>
        <w:rPr>
          <w:rFonts w:hint="eastAsia" w:ascii="宋体" w:hAnsi="宋体" w:eastAsia="宋体" w:cs="宋体"/>
          <w:sz w:val="24"/>
          <w:szCs w:val="24"/>
          <w:lang w:val="en-US" w:eastAsia="zh-CN"/>
        </w:rPr>
        <w:t>部门整体</w:t>
      </w:r>
      <w:r>
        <w:rPr>
          <w:rFonts w:hint="eastAsia" w:ascii="宋体" w:hAnsi="宋体" w:eastAsia="宋体" w:cs="宋体"/>
          <w:sz w:val="24"/>
          <w:szCs w:val="24"/>
          <w:highlight w:val="none"/>
          <w:lang w:val="en-US" w:eastAsia="zh-CN"/>
        </w:rPr>
        <w:t>重视满意度调查工作，但是调查问卷设计科学</w:t>
      </w:r>
      <w:r>
        <w:rPr>
          <w:rFonts w:hint="eastAsia" w:ascii="宋体" w:hAnsi="宋体" w:cs="宋体"/>
          <w:sz w:val="24"/>
          <w:szCs w:val="24"/>
          <w:highlight w:val="none"/>
          <w:lang w:val="en-US" w:eastAsia="zh-CN"/>
        </w:rPr>
        <w:t>性有待加强。</w:t>
      </w:r>
      <w:r>
        <w:rPr>
          <w:rFonts w:hint="eastAsia" w:ascii="宋体" w:hAnsi="宋体" w:eastAsia="宋体" w:cs="宋体"/>
          <w:sz w:val="24"/>
          <w:szCs w:val="24"/>
          <w:highlight w:val="none"/>
          <w:lang w:val="en-US" w:eastAsia="zh-CN"/>
        </w:rPr>
        <w:t>助学金项目设定了学生家长满意度评价指标，但因疫情原因未进行家长满意度调查。</w:t>
      </w:r>
    </w:p>
    <w:p>
      <w:pPr>
        <w:spacing w:line="360" w:lineRule="auto"/>
        <w:ind w:left="105" w:leftChars="50" w:firstLine="361" w:firstLineChars="150"/>
        <w:outlineLvl w:val="0"/>
        <w:rPr>
          <w:rFonts w:hint="eastAsia" w:ascii="宋体" w:hAnsi="宋体" w:eastAsia="宋体" w:cs="宋体"/>
          <w:b/>
          <w:bCs/>
          <w:color w:val="000000"/>
          <w:kern w:val="0"/>
          <w:sz w:val="24"/>
          <w:szCs w:val="24"/>
          <w:highlight w:val="none"/>
        </w:rPr>
      </w:pPr>
      <w:bookmarkStart w:id="23" w:name="_Toc20975"/>
      <w:r>
        <w:rPr>
          <w:rFonts w:hint="eastAsia" w:ascii="宋体" w:hAnsi="宋体" w:eastAsia="宋体" w:cs="宋体"/>
          <w:b/>
          <w:bCs/>
          <w:color w:val="000000"/>
          <w:kern w:val="0"/>
          <w:sz w:val="24"/>
          <w:szCs w:val="24"/>
          <w:highlight w:val="none"/>
        </w:rPr>
        <w:t>四、预算管理情况分析</w:t>
      </w:r>
      <w:bookmarkEnd w:id="23"/>
    </w:p>
    <w:p>
      <w:pPr>
        <w:spacing w:line="360" w:lineRule="auto"/>
        <w:ind w:left="105" w:leftChars="50" w:firstLine="360" w:firstLineChars="150"/>
        <w:outlineLvl w:val="1"/>
        <w:rPr>
          <w:rFonts w:hint="eastAsia" w:ascii="宋体" w:hAnsi="宋体" w:eastAsia="宋体" w:cs="宋体"/>
          <w:sz w:val="24"/>
          <w:szCs w:val="24"/>
          <w:highlight w:val="none"/>
        </w:rPr>
      </w:pPr>
      <w:bookmarkStart w:id="24" w:name="_Toc31068"/>
      <w:r>
        <w:rPr>
          <w:rFonts w:hint="eastAsia" w:ascii="宋体" w:hAnsi="宋体" w:eastAsia="宋体" w:cs="宋体"/>
          <w:sz w:val="24"/>
          <w:szCs w:val="24"/>
          <w:highlight w:val="none"/>
        </w:rPr>
        <w:t>（一）财务管理</w:t>
      </w:r>
      <w:bookmarkEnd w:id="24"/>
    </w:p>
    <w:p>
      <w:pPr>
        <w:spacing w:line="360" w:lineRule="auto"/>
        <w:ind w:left="105" w:leftChars="50" w:firstLine="360" w:firstLineChars="150"/>
        <w:outlineLvl w:val="2"/>
        <w:rPr>
          <w:rFonts w:hint="eastAsia" w:ascii="宋体" w:hAnsi="宋体" w:eastAsia="宋体" w:cs="宋体"/>
          <w:color w:val="000000"/>
          <w:kern w:val="0"/>
          <w:sz w:val="24"/>
          <w:szCs w:val="24"/>
          <w:highlight w:val="none"/>
        </w:rPr>
      </w:pPr>
      <w:bookmarkStart w:id="25" w:name="_Toc16710"/>
      <w:r>
        <w:rPr>
          <w:rFonts w:hint="eastAsia" w:ascii="宋体" w:hAnsi="宋体" w:eastAsia="宋体" w:cs="宋体"/>
          <w:color w:val="000000"/>
          <w:kern w:val="0"/>
          <w:sz w:val="24"/>
          <w:szCs w:val="24"/>
          <w:highlight w:val="none"/>
        </w:rPr>
        <w:t>1.财务管理制度健全性</w:t>
      </w:r>
      <w:bookmarkEnd w:id="25"/>
    </w:p>
    <w:p>
      <w:pPr>
        <w:numPr>
          <w:ilvl w:val="0"/>
          <w:numId w:val="0"/>
        </w:numPr>
        <w:spacing w:line="360" w:lineRule="auto"/>
        <w:ind w:firstLine="480" w:firstLineChars="200"/>
        <w:outlineLvl w:val="9"/>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为切实加强资金使用和管理，提高财政资金使用效益,</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部门整体</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严格执行市财政局下发的《市级部门预算编报指南》等规定。同时，结合工作实际，先后制定了《预决算管理制度》、《会计核算及财务管理办法》、《费用支出管理办法》、《固定资产管理办法》</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等</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为</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进一步规范</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部门各单位</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管理奠定了基础。综上，</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部门整体</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财务管理制度较为健全，为科学、合理使用</w:t>
      </w:r>
      <w:r>
        <w:rPr>
          <w:rFonts w:hint="eastAsia" w:ascii="宋体" w:hAnsi="宋体" w:eastAsia="宋体" w:cs="宋体"/>
          <w:color w:val="000000"/>
          <w:spacing w:val="0"/>
          <w:w w:val="100"/>
          <w:position w:val="0"/>
          <w:sz w:val="24"/>
          <w:szCs w:val="24"/>
          <w:highlight w:val="none"/>
          <w:u w:val="none"/>
          <w:shd w:val="clear" w:color="auto" w:fill="auto"/>
          <w:lang w:val="en-US" w:eastAsia="zh-CN" w:bidi="zh-TW"/>
        </w:rPr>
        <w:t>财政</w:t>
      </w:r>
      <w:r>
        <w:rPr>
          <w:rFonts w:hint="eastAsia" w:ascii="宋体" w:hAnsi="宋体" w:eastAsia="宋体" w:cs="宋体"/>
          <w:color w:val="000000"/>
          <w:spacing w:val="0"/>
          <w:w w:val="100"/>
          <w:position w:val="0"/>
          <w:sz w:val="24"/>
          <w:szCs w:val="24"/>
          <w:highlight w:val="none"/>
          <w:u w:val="none"/>
          <w:shd w:val="clear" w:color="auto" w:fill="auto"/>
          <w:lang w:val="zh-TW" w:eastAsia="zh-TW" w:bidi="zh-TW"/>
        </w:rPr>
        <w:t>资金提供了制度依据和保障。但是缺乏本部门制订的绩效跟踪管理办法，不利于落实部门绩效目标监控要求。</w:t>
      </w:r>
    </w:p>
    <w:p>
      <w:pPr>
        <w:numPr>
          <w:ilvl w:val="0"/>
          <w:numId w:val="0"/>
        </w:numPr>
        <w:spacing w:line="360" w:lineRule="auto"/>
        <w:ind w:firstLine="480" w:firstLineChars="200"/>
        <w:outlineLvl w:val="2"/>
        <w:rPr>
          <w:rFonts w:hint="eastAsia" w:ascii="宋体" w:hAnsi="宋体" w:eastAsia="宋体" w:cs="宋体"/>
          <w:color w:val="000000"/>
          <w:kern w:val="0"/>
          <w:sz w:val="24"/>
          <w:szCs w:val="24"/>
          <w:highlight w:val="none"/>
        </w:rPr>
      </w:pPr>
      <w:bookmarkStart w:id="26" w:name="_Toc27108"/>
      <w:r>
        <w:rPr>
          <w:rFonts w:hint="eastAsia" w:ascii="宋体" w:hAnsi="宋体" w:eastAsia="宋体" w:cs="宋体"/>
          <w:color w:val="000000"/>
          <w:kern w:val="0"/>
          <w:sz w:val="24"/>
          <w:szCs w:val="24"/>
          <w:highlight w:val="none"/>
          <w:lang w:val="en-US" w:eastAsia="zh-CN"/>
        </w:rPr>
        <w:t>2.</w:t>
      </w:r>
      <w:r>
        <w:rPr>
          <w:rFonts w:hint="eastAsia" w:ascii="宋体" w:hAnsi="宋体" w:eastAsia="宋体" w:cs="宋体"/>
          <w:color w:val="000000"/>
          <w:kern w:val="0"/>
          <w:sz w:val="24"/>
          <w:szCs w:val="24"/>
          <w:highlight w:val="none"/>
        </w:rPr>
        <w:t>资金使用合规性和安全性</w:t>
      </w:r>
      <w:bookmarkEnd w:id="26"/>
    </w:p>
    <w:p>
      <w:pPr>
        <w:pStyle w:val="17"/>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en-US" w:eastAsia="zh-CN"/>
        </w:rPr>
        <w:t>部门各单位资金使用</w:t>
      </w:r>
      <w:r>
        <w:rPr>
          <w:rFonts w:hint="eastAsia" w:ascii="宋体" w:hAnsi="宋体" w:eastAsia="宋体" w:cs="宋体"/>
          <w:color w:val="000000"/>
          <w:spacing w:val="0"/>
          <w:w w:val="100"/>
          <w:position w:val="0"/>
          <w:sz w:val="24"/>
          <w:szCs w:val="24"/>
        </w:rPr>
        <w:t>符合国家财经法规和财务管理制度规定</w:t>
      </w:r>
      <w:r>
        <w:rPr>
          <w:rFonts w:hint="eastAsia" w:ascii="宋体" w:hAnsi="宋体" w:eastAsia="宋体" w:cs="宋体"/>
          <w:color w:val="000000"/>
          <w:spacing w:val="0"/>
          <w:w w:val="100"/>
          <w:position w:val="0"/>
          <w:sz w:val="24"/>
          <w:szCs w:val="24"/>
          <w:lang w:val="en-US" w:eastAsia="zh-CN"/>
        </w:rPr>
        <w:t>和</w:t>
      </w:r>
      <w:r>
        <w:rPr>
          <w:rFonts w:hint="eastAsia" w:ascii="宋体" w:hAnsi="宋体" w:eastAsia="宋体" w:cs="宋体"/>
          <w:color w:val="000000"/>
          <w:spacing w:val="0"/>
          <w:w w:val="100"/>
          <w:position w:val="0"/>
          <w:sz w:val="24"/>
          <w:szCs w:val="24"/>
        </w:rPr>
        <w:t>有关专项资金管理办法的规定</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资金的拨付有完整的审批程序和手续；项目的重大开支经过</w:t>
      </w:r>
      <w:r>
        <w:rPr>
          <w:rFonts w:hint="eastAsia" w:ascii="宋体" w:hAnsi="宋体" w:eastAsia="宋体" w:cs="宋体"/>
          <w:color w:val="000000"/>
          <w:spacing w:val="0"/>
          <w:w w:val="100"/>
          <w:position w:val="0"/>
          <w:sz w:val="24"/>
          <w:szCs w:val="24"/>
          <w:lang w:val="en-US" w:eastAsia="zh-CN"/>
        </w:rPr>
        <w:t>了适当的</w:t>
      </w:r>
      <w:r>
        <w:rPr>
          <w:rFonts w:hint="eastAsia" w:ascii="宋体" w:hAnsi="宋体" w:eastAsia="宋体" w:cs="宋体"/>
          <w:color w:val="000000"/>
          <w:spacing w:val="0"/>
          <w:w w:val="100"/>
          <w:position w:val="0"/>
          <w:sz w:val="24"/>
          <w:szCs w:val="24"/>
        </w:rPr>
        <w:t>评估论证；符合部门预算批复的用途</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lang w:val="en-US" w:eastAsia="zh-CN"/>
        </w:rPr>
        <w:t>不</w:t>
      </w:r>
      <w:r>
        <w:rPr>
          <w:rFonts w:hint="eastAsia" w:ascii="宋体" w:hAnsi="宋体" w:eastAsia="宋体" w:cs="宋体"/>
          <w:color w:val="000000"/>
          <w:spacing w:val="0"/>
          <w:w w:val="100"/>
          <w:position w:val="0"/>
          <w:sz w:val="24"/>
          <w:szCs w:val="24"/>
        </w:rPr>
        <w:t>存在截留、挤占、挪用情况；资金使用符合政府采购的程序和流程；资金使用公务卡结算相关制度和规定。公用经费支出合理，对机构运转成本的控制力较强。</w:t>
      </w:r>
    </w:p>
    <w:p>
      <w:pPr>
        <w:numPr>
          <w:ilvl w:val="0"/>
          <w:numId w:val="0"/>
        </w:numPr>
        <w:spacing w:line="360" w:lineRule="auto"/>
        <w:ind w:leftChars="200"/>
        <w:outlineLvl w:val="2"/>
        <w:rPr>
          <w:rFonts w:hint="eastAsia" w:ascii="宋体" w:hAnsi="宋体" w:eastAsia="宋体" w:cs="宋体"/>
          <w:color w:val="000000"/>
          <w:kern w:val="0"/>
          <w:sz w:val="24"/>
          <w:szCs w:val="24"/>
          <w:highlight w:val="none"/>
        </w:rPr>
      </w:pPr>
      <w:bookmarkStart w:id="27" w:name="_Toc32300"/>
      <w:r>
        <w:rPr>
          <w:rFonts w:hint="eastAsia" w:ascii="宋体" w:hAnsi="宋体" w:eastAsia="宋体" w:cs="宋体"/>
          <w:color w:val="000000"/>
          <w:kern w:val="0"/>
          <w:sz w:val="24"/>
          <w:szCs w:val="24"/>
          <w:highlight w:val="none"/>
          <w:lang w:val="en-US" w:eastAsia="zh-CN"/>
        </w:rPr>
        <w:t>3.</w:t>
      </w:r>
      <w:r>
        <w:rPr>
          <w:rFonts w:hint="eastAsia" w:ascii="宋体" w:hAnsi="宋体" w:eastAsia="宋体" w:cs="宋体"/>
          <w:color w:val="000000"/>
          <w:kern w:val="0"/>
          <w:sz w:val="24"/>
          <w:szCs w:val="24"/>
          <w:highlight w:val="none"/>
        </w:rPr>
        <w:t>会计基础信息完善性</w:t>
      </w:r>
      <w:bookmarkEnd w:id="27"/>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基础数据信息和会计信息资料真实</w:t>
      </w:r>
      <w:r>
        <w:rPr>
          <w:rFonts w:hint="eastAsia" w:ascii="宋体" w:hAnsi="宋体" w:eastAsia="宋体" w:cs="宋体"/>
          <w:sz w:val="24"/>
          <w:szCs w:val="24"/>
          <w:lang w:eastAsia="zh-CN"/>
        </w:rPr>
        <w:t>、</w:t>
      </w:r>
      <w:r>
        <w:rPr>
          <w:rFonts w:hint="eastAsia" w:ascii="宋体" w:hAnsi="宋体" w:eastAsia="宋体" w:cs="宋体"/>
          <w:sz w:val="24"/>
          <w:szCs w:val="24"/>
        </w:rPr>
        <w:t>完整</w:t>
      </w:r>
      <w:r>
        <w:rPr>
          <w:rFonts w:hint="eastAsia" w:ascii="宋体" w:hAnsi="宋体" w:eastAsia="宋体" w:cs="宋体"/>
          <w:sz w:val="24"/>
          <w:szCs w:val="24"/>
          <w:lang w:eastAsia="zh-CN"/>
        </w:rPr>
        <w:t>、</w:t>
      </w:r>
      <w:r>
        <w:rPr>
          <w:rFonts w:hint="eastAsia" w:ascii="宋体" w:hAnsi="宋体" w:eastAsia="宋体" w:cs="宋体"/>
          <w:sz w:val="24"/>
          <w:szCs w:val="24"/>
        </w:rPr>
        <w:t>准确。</w:t>
      </w:r>
    </w:p>
    <w:p>
      <w:pPr>
        <w:spacing w:line="360" w:lineRule="auto"/>
        <w:ind w:left="105" w:leftChars="50" w:firstLine="360" w:firstLineChars="150"/>
        <w:outlineLvl w:val="1"/>
        <w:rPr>
          <w:rFonts w:hint="eastAsia" w:ascii="宋体" w:hAnsi="宋体" w:eastAsia="宋体" w:cs="宋体"/>
          <w:sz w:val="24"/>
          <w:szCs w:val="24"/>
          <w:highlight w:val="none"/>
        </w:rPr>
      </w:pPr>
      <w:bookmarkStart w:id="28" w:name="_Toc10591"/>
      <w:r>
        <w:rPr>
          <w:rFonts w:hint="eastAsia" w:ascii="宋体" w:hAnsi="宋体" w:eastAsia="宋体" w:cs="宋体"/>
          <w:sz w:val="24"/>
          <w:szCs w:val="24"/>
          <w:highlight w:val="none"/>
        </w:rPr>
        <w:t>（二）资产管理</w:t>
      </w:r>
      <w:bookmarkEnd w:id="28"/>
    </w:p>
    <w:p>
      <w:pPr>
        <w:pStyle w:val="16"/>
        <w:keepNext w:val="0"/>
        <w:keepLines w:val="0"/>
        <w:widowControl w:val="0"/>
        <w:shd w:val="clear" w:color="auto" w:fill="auto"/>
        <w:tabs>
          <w:tab w:val="left" w:pos="1401"/>
        </w:tabs>
        <w:bidi w:val="0"/>
        <w:spacing w:before="0" w:after="0" w:line="360" w:lineRule="auto"/>
        <w:ind w:right="0" w:firstLine="480" w:firstLineChars="200"/>
        <w:jc w:val="both"/>
        <w:rPr>
          <w:rFonts w:hint="eastAsia" w:ascii="宋体" w:hAnsi="宋体" w:eastAsia="宋体" w:cs="宋体"/>
          <w:sz w:val="24"/>
          <w:szCs w:val="24"/>
          <w:lang w:val="en-US" w:eastAsia="zh-CN"/>
        </w:rPr>
      </w:pPr>
      <w:r>
        <w:rPr>
          <w:rFonts w:hint="eastAsia" w:ascii="宋体" w:hAnsi="宋体" w:eastAsia="宋体" w:cs="宋体"/>
          <w:color w:val="000000"/>
          <w:spacing w:val="0"/>
          <w:w w:val="100"/>
          <w:position w:val="0"/>
          <w:sz w:val="24"/>
          <w:szCs w:val="24"/>
          <w:u w:val="none"/>
        </w:rPr>
        <w:t>资产账务管理合规，账实相符；</w:t>
      </w:r>
      <w:r>
        <w:rPr>
          <w:rFonts w:hint="eastAsia" w:ascii="宋体" w:hAnsi="宋体" w:eastAsia="宋体" w:cs="宋体"/>
          <w:sz w:val="24"/>
          <w:szCs w:val="24"/>
          <w:u w:val="none"/>
          <w:lang w:val="en-US" w:eastAsia="zh-CN"/>
        </w:rPr>
        <w:t>无</w:t>
      </w:r>
      <w:r>
        <w:rPr>
          <w:rFonts w:hint="eastAsia" w:ascii="宋体" w:hAnsi="宋体" w:eastAsia="宋体" w:cs="宋体"/>
          <w:sz w:val="24"/>
          <w:szCs w:val="24"/>
          <w:u w:val="none"/>
        </w:rPr>
        <w:t>严重资产损失和丢失情况；</w:t>
      </w:r>
      <w:r>
        <w:rPr>
          <w:rFonts w:hint="eastAsia" w:ascii="宋体" w:hAnsi="宋体" w:eastAsia="宋体" w:cs="宋体"/>
          <w:sz w:val="24"/>
          <w:szCs w:val="24"/>
          <w:u w:val="none"/>
          <w:lang w:val="en-US" w:eastAsia="zh-CN"/>
        </w:rPr>
        <w:t>未</w:t>
      </w:r>
      <w:r>
        <w:rPr>
          <w:rFonts w:hint="eastAsia" w:ascii="宋体" w:hAnsi="宋体" w:eastAsia="宋体" w:cs="宋体"/>
          <w:sz w:val="24"/>
          <w:szCs w:val="24"/>
          <w:u w:val="none"/>
        </w:rPr>
        <w:t>超标准配置资产；资产使用</w:t>
      </w:r>
      <w:r>
        <w:rPr>
          <w:rFonts w:hint="eastAsia" w:ascii="宋体" w:hAnsi="宋体" w:eastAsia="宋体" w:cs="宋体"/>
          <w:sz w:val="24"/>
          <w:szCs w:val="24"/>
          <w:u w:val="none"/>
          <w:lang w:val="en-US" w:eastAsia="zh-CN"/>
        </w:rPr>
        <w:t>符合</w:t>
      </w:r>
      <w:r>
        <w:rPr>
          <w:rFonts w:hint="eastAsia" w:ascii="宋体" w:hAnsi="宋体" w:eastAsia="宋体" w:cs="宋体"/>
          <w:sz w:val="24"/>
          <w:szCs w:val="24"/>
          <w:u w:val="none"/>
        </w:rPr>
        <w:t>规范，</w:t>
      </w:r>
      <w:r>
        <w:rPr>
          <w:rFonts w:hint="eastAsia" w:ascii="宋体" w:hAnsi="宋体" w:eastAsia="宋体" w:cs="宋体"/>
          <w:sz w:val="24"/>
          <w:szCs w:val="24"/>
          <w:u w:val="none"/>
          <w:lang w:val="en-US" w:eastAsia="zh-CN"/>
        </w:rPr>
        <w:t>不</w:t>
      </w:r>
      <w:r>
        <w:rPr>
          <w:rFonts w:hint="eastAsia" w:ascii="宋体" w:hAnsi="宋体" w:eastAsia="宋体" w:cs="宋体"/>
          <w:sz w:val="24"/>
          <w:szCs w:val="24"/>
          <w:u w:val="none"/>
        </w:rPr>
        <w:t>存在未经批准擅自出租、出借资产行为；资产处置</w:t>
      </w:r>
      <w:r>
        <w:rPr>
          <w:rFonts w:hint="eastAsia" w:ascii="宋体" w:hAnsi="宋体" w:eastAsia="宋体" w:cs="宋体"/>
          <w:sz w:val="24"/>
          <w:szCs w:val="24"/>
          <w:u w:val="none"/>
          <w:lang w:val="en-US" w:eastAsia="zh-CN"/>
        </w:rPr>
        <w:t>较为</w:t>
      </w:r>
      <w:r>
        <w:rPr>
          <w:rFonts w:hint="eastAsia" w:ascii="宋体" w:hAnsi="宋体" w:eastAsia="宋体" w:cs="宋体"/>
          <w:sz w:val="24"/>
          <w:szCs w:val="24"/>
          <w:u w:val="none"/>
        </w:rPr>
        <w:t>规范，</w:t>
      </w:r>
      <w:r>
        <w:rPr>
          <w:rFonts w:hint="eastAsia" w:ascii="宋体" w:hAnsi="宋体" w:eastAsia="宋体" w:cs="宋体"/>
          <w:sz w:val="24"/>
          <w:szCs w:val="24"/>
          <w:u w:val="none"/>
          <w:lang w:val="en-US" w:eastAsia="zh-CN"/>
        </w:rPr>
        <w:t>不</w:t>
      </w:r>
      <w:r>
        <w:rPr>
          <w:rFonts w:hint="eastAsia" w:ascii="宋体" w:hAnsi="宋体" w:eastAsia="宋体" w:cs="宋体"/>
          <w:sz w:val="24"/>
          <w:szCs w:val="24"/>
          <w:u w:val="none"/>
        </w:rPr>
        <w:t>存在不按要求进行报批或资产不公开处置行为</w:t>
      </w:r>
      <w:r>
        <w:rPr>
          <w:rFonts w:hint="eastAsia" w:ascii="宋体" w:hAnsi="宋体" w:eastAsia="宋体" w:cs="宋体"/>
          <w:sz w:val="24"/>
          <w:szCs w:val="24"/>
          <w:u w:val="none"/>
          <w:lang w:val="en-US" w:eastAsia="zh-CN"/>
        </w:rPr>
        <w:t>。</w:t>
      </w:r>
    </w:p>
    <w:p>
      <w:pPr>
        <w:numPr>
          <w:ilvl w:val="0"/>
          <w:numId w:val="0"/>
        </w:numPr>
        <w:spacing w:line="360" w:lineRule="auto"/>
        <w:ind w:leftChars="200"/>
        <w:outlineLvl w:val="1"/>
        <w:rPr>
          <w:rFonts w:hint="eastAsia" w:ascii="宋体" w:hAnsi="宋体" w:eastAsia="宋体" w:cs="宋体"/>
          <w:sz w:val="24"/>
          <w:szCs w:val="24"/>
          <w:highlight w:val="none"/>
        </w:rPr>
      </w:pPr>
      <w:bookmarkStart w:id="29" w:name="_Toc30806"/>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绩效管理</w:t>
      </w:r>
      <w:bookmarkEnd w:id="29"/>
    </w:p>
    <w:p>
      <w:pPr>
        <w:pStyle w:val="17"/>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部门</w:t>
      </w:r>
      <w:r>
        <w:rPr>
          <w:rFonts w:hint="eastAsia" w:ascii="宋体" w:hAnsi="宋体" w:eastAsia="宋体" w:cs="宋体"/>
          <w:sz w:val="24"/>
          <w:szCs w:val="24"/>
          <w:lang w:val="en-US" w:eastAsia="zh-CN"/>
        </w:rPr>
        <w:t>各单位能够</w:t>
      </w:r>
      <w:r>
        <w:rPr>
          <w:rFonts w:hint="eastAsia" w:ascii="宋体" w:hAnsi="宋体" w:eastAsia="宋体" w:cs="宋体"/>
          <w:sz w:val="24"/>
          <w:szCs w:val="24"/>
        </w:rPr>
        <w:t>及时对绩效信息进行汇总分析整理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并</w:t>
      </w:r>
      <w:r>
        <w:rPr>
          <w:rFonts w:hint="eastAsia" w:ascii="宋体" w:hAnsi="宋体" w:eastAsia="宋体" w:cs="宋体"/>
          <w:sz w:val="24"/>
          <w:szCs w:val="24"/>
        </w:rPr>
        <w:t>对绩效目标偏离情况及时进行矫正</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为促进部门从整体上提升预算绩效管理工作水平，强化部门支出责任，规范资金管理行为，提高财政资金使用效益，保障部门更好地履行职责提供保证。</w:t>
      </w:r>
    </w:p>
    <w:p>
      <w:pPr>
        <w:numPr>
          <w:ilvl w:val="0"/>
          <w:numId w:val="0"/>
        </w:numPr>
        <w:spacing w:line="360" w:lineRule="auto"/>
        <w:ind w:leftChars="200"/>
        <w:outlineLvl w:val="1"/>
        <w:rPr>
          <w:rFonts w:hint="eastAsia" w:ascii="宋体" w:hAnsi="宋体" w:eastAsia="宋体" w:cs="宋体"/>
          <w:sz w:val="24"/>
          <w:szCs w:val="24"/>
          <w:highlight w:val="none"/>
        </w:rPr>
      </w:pPr>
      <w:bookmarkStart w:id="30" w:name="_Toc16302"/>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四</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结转结余</w:t>
      </w:r>
      <w:r>
        <w:rPr>
          <w:rFonts w:hint="eastAsia" w:ascii="宋体" w:hAnsi="宋体" w:eastAsia="宋体" w:cs="宋体"/>
          <w:sz w:val="24"/>
          <w:szCs w:val="24"/>
          <w:highlight w:val="none"/>
          <w:lang w:val="en-US" w:eastAsia="zh-CN"/>
        </w:rPr>
        <w:t>情况</w:t>
      </w:r>
      <w:bookmarkEnd w:id="30"/>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北京市供销总社</w:t>
      </w:r>
      <w:r>
        <w:rPr>
          <w:rFonts w:hint="eastAsia" w:ascii="宋体" w:hAnsi="宋体" w:eastAsia="宋体" w:cs="宋体"/>
          <w:sz w:val="24"/>
          <w:szCs w:val="24"/>
          <w:lang w:val="en-US" w:eastAsia="zh-CN"/>
        </w:rPr>
        <w:t>20</w:t>
      </w:r>
      <w:r>
        <w:rPr>
          <w:rFonts w:hint="eastAsia" w:ascii="宋体" w:hAnsi="宋体" w:eastAsia="宋体" w:cs="宋体"/>
          <w:sz w:val="24"/>
          <w:szCs w:val="24"/>
        </w:rPr>
        <w:t>22年结转结余总额427</w:t>
      </w:r>
      <w:r>
        <w:rPr>
          <w:rFonts w:hint="eastAsia" w:ascii="宋体" w:hAnsi="宋体" w:eastAsia="宋体" w:cs="宋体"/>
          <w:sz w:val="24"/>
          <w:szCs w:val="24"/>
          <w:lang w:val="en-US" w:eastAsia="zh-CN"/>
        </w:rPr>
        <w:t>.</w:t>
      </w:r>
      <w:r>
        <w:rPr>
          <w:rFonts w:hint="eastAsia" w:ascii="宋体" w:hAnsi="宋体" w:eastAsia="宋体" w:cs="宋体"/>
          <w:sz w:val="24"/>
          <w:szCs w:val="24"/>
        </w:rPr>
        <w:t>715667</w:t>
      </w:r>
      <w:r>
        <w:rPr>
          <w:rFonts w:hint="eastAsia" w:ascii="宋体" w:hAnsi="宋体" w:eastAsia="宋体" w:cs="宋体"/>
          <w:sz w:val="24"/>
          <w:szCs w:val="24"/>
          <w:lang w:val="en-US" w:eastAsia="zh-CN"/>
        </w:rPr>
        <w:t>万</w:t>
      </w:r>
      <w:r>
        <w:rPr>
          <w:rFonts w:hint="eastAsia" w:ascii="宋体" w:hAnsi="宋体" w:eastAsia="宋体" w:cs="宋体"/>
          <w:sz w:val="24"/>
          <w:szCs w:val="24"/>
        </w:rPr>
        <w:t>元，支出预算数10677</w:t>
      </w:r>
      <w:r>
        <w:rPr>
          <w:rFonts w:hint="eastAsia" w:ascii="宋体" w:hAnsi="宋体" w:eastAsia="宋体" w:cs="宋体"/>
          <w:sz w:val="24"/>
          <w:szCs w:val="24"/>
          <w:lang w:val="en-US" w:eastAsia="zh-CN"/>
        </w:rPr>
        <w:t>.</w:t>
      </w:r>
      <w:r>
        <w:rPr>
          <w:rFonts w:hint="eastAsia" w:ascii="宋体" w:hAnsi="宋体" w:eastAsia="宋体" w:cs="宋体"/>
          <w:sz w:val="24"/>
          <w:szCs w:val="24"/>
        </w:rPr>
        <w:t>437634</w:t>
      </w:r>
      <w:r>
        <w:rPr>
          <w:rFonts w:hint="eastAsia" w:ascii="宋体" w:hAnsi="宋体" w:eastAsia="宋体" w:cs="宋体"/>
          <w:sz w:val="24"/>
          <w:szCs w:val="24"/>
          <w:lang w:val="en-US" w:eastAsia="zh-CN"/>
        </w:rPr>
        <w:t>万</w:t>
      </w:r>
      <w:r>
        <w:rPr>
          <w:rFonts w:hint="eastAsia" w:ascii="宋体" w:hAnsi="宋体" w:eastAsia="宋体" w:cs="宋体"/>
          <w:sz w:val="24"/>
          <w:szCs w:val="24"/>
        </w:rPr>
        <w:t>元，结转结余率为4.01%。</w:t>
      </w:r>
    </w:p>
    <w:p>
      <w:pPr>
        <w:pStyle w:val="2"/>
        <w:numPr>
          <w:ilvl w:val="0"/>
          <w:numId w:val="0"/>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市社本级</w:t>
      </w:r>
      <w:r>
        <w:rPr>
          <w:rFonts w:hint="eastAsia" w:ascii="宋体" w:hAnsi="宋体" w:eastAsia="宋体" w:cs="宋体"/>
          <w:sz w:val="24"/>
          <w:szCs w:val="24"/>
          <w:lang w:val="en-US" w:eastAsia="zh-CN"/>
        </w:rPr>
        <w:t>20</w:t>
      </w:r>
      <w:r>
        <w:rPr>
          <w:rFonts w:hint="eastAsia" w:ascii="宋体" w:hAnsi="宋体" w:eastAsia="宋体" w:cs="宋体"/>
          <w:sz w:val="24"/>
          <w:szCs w:val="24"/>
        </w:rPr>
        <w:t>22年结转结余总额0</w:t>
      </w:r>
      <w:r>
        <w:rPr>
          <w:rFonts w:hint="eastAsia" w:ascii="宋体" w:hAnsi="宋体" w:eastAsia="宋体" w:cs="宋体"/>
          <w:sz w:val="24"/>
          <w:szCs w:val="24"/>
          <w:lang w:val="en-US" w:eastAsia="zh-CN"/>
        </w:rPr>
        <w:t>万</w:t>
      </w:r>
      <w:r>
        <w:rPr>
          <w:rFonts w:hint="eastAsia" w:ascii="宋体" w:hAnsi="宋体" w:eastAsia="宋体" w:cs="宋体"/>
          <w:sz w:val="24"/>
          <w:szCs w:val="24"/>
        </w:rPr>
        <w:t>元，支出预算数为290</w:t>
      </w:r>
      <w:r>
        <w:rPr>
          <w:rFonts w:hint="eastAsia" w:ascii="宋体" w:hAnsi="宋体" w:eastAsia="宋体" w:cs="宋体"/>
          <w:sz w:val="24"/>
          <w:szCs w:val="24"/>
          <w:lang w:val="en-US" w:eastAsia="zh-CN"/>
        </w:rPr>
        <w:t>万</w:t>
      </w:r>
      <w:r>
        <w:rPr>
          <w:rFonts w:hint="eastAsia" w:ascii="宋体" w:hAnsi="宋体" w:eastAsia="宋体" w:cs="宋体"/>
          <w:sz w:val="24"/>
          <w:szCs w:val="24"/>
        </w:rPr>
        <w:t>元，结转结余率为0。</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北京市经贸高级技术学校</w:t>
      </w:r>
      <w:r>
        <w:rPr>
          <w:rFonts w:hint="eastAsia" w:ascii="宋体" w:hAnsi="宋体" w:eastAsia="宋体" w:cs="宋体"/>
          <w:sz w:val="24"/>
          <w:szCs w:val="24"/>
          <w:lang w:val="en-US" w:eastAsia="zh-CN"/>
        </w:rPr>
        <w:t>20</w:t>
      </w:r>
      <w:r>
        <w:rPr>
          <w:rFonts w:hint="eastAsia" w:ascii="宋体" w:hAnsi="宋体" w:eastAsia="宋体" w:cs="宋体"/>
          <w:sz w:val="24"/>
          <w:szCs w:val="24"/>
        </w:rPr>
        <w:t>22年结转结余总额208</w:t>
      </w:r>
      <w:r>
        <w:rPr>
          <w:rFonts w:hint="eastAsia" w:ascii="宋体" w:hAnsi="宋体" w:eastAsia="宋体" w:cs="宋体"/>
          <w:sz w:val="24"/>
          <w:szCs w:val="24"/>
          <w:lang w:val="en-US" w:eastAsia="zh-CN"/>
        </w:rPr>
        <w:t>.</w:t>
      </w:r>
      <w:r>
        <w:rPr>
          <w:rFonts w:hint="eastAsia" w:ascii="宋体" w:hAnsi="宋体" w:eastAsia="宋体" w:cs="宋体"/>
          <w:sz w:val="24"/>
          <w:szCs w:val="24"/>
        </w:rPr>
        <w:t>315246元，支出预算数6157</w:t>
      </w:r>
      <w:r>
        <w:rPr>
          <w:rFonts w:hint="eastAsia" w:ascii="宋体" w:hAnsi="宋体" w:eastAsia="宋体" w:cs="宋体"/>
          <w:sz w:val="24"/>
          <w:szCs w:val="24"/>
          <w:lang w:val="en-US" w:eastAsia="zh-CN"/>
        </w:rPr>
        <w:t>.</w:t>
      </w:r>
      <w:r>
        <w:rPr>
          <w:rFonts w:hint="eastAsia" w:ascii="宋体" w:hAnsi="宋体" w:eastAsia="宋体" w:cs="宋体"/>
          <w:sz w:val="24"/>
          <w:szCs w:val="24"/>
        </w:rPr>
        <w:t>864499元，结转结余率为3.38%。</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北京市供销学校</w:t>
      </w:r>
      <w:r>
        <w:rPr>
          <w:rFonts w:hint="eastAsia" w:ascii="宋体" w:hAnsi="宋体" w:eastAsia="宋体" w:cs="宋体"/>
          <w:sz w:val="24"/>
          <w:szCs w:val="24"/>
          <w:lang w:val="en-US" w:eastAsia="zh-CN"/>
        </w:rPr>
        <w:t>20</w:t>
      </w:r>
      <w:r>
        <w:rPr>
          <w:rFonts w:hint="eastAsia" w:ascii="宋体" w:hAnsi="宋体" w:eastAsia="宋体" w:cs="宋体"/>
          <w:sz w:val="24"/>
          <w:szCs w:val="24"/>
        </w:rPr>
        <w:t>22年结转结余总额128</w:t>
      </w:r>
      <w:r>
        <w:rPr>
          <w:rFonts w:hint="eastAsia" w:ascii="宋体" w:hAnsi="宋体" w:eastAsia="宋体" w:cs="宋体"/>
          <w:sz w:val="24"/>
          <w:szCs w:val="24"/>
          <w:lang w:val="en-US" w:eastAsia="zh-CN"/>
        </w:rPr>
        <w:t>.</w:t>
      </w:r>
      <w:r>
        <w:rPr>
          <w:rFonts w:hint="eastAsia" w:ascii="宋体" w:hAnsi="宋体" w:eastAsia="宋体" w:cs="宋体"/>
          <w:sz w:val="24"/>
          <w:szCs w:val="24"/>
        </w:rPr>
        <w:t>080184元，支出预算数2978</w:t>
      </w:r>
      <w:r>
        <w:rPr>
          <w:rFonts w:hint="eastAsia" w:ascii="宋体" w:hAnsi="宋体" w:eastAsia="宋体" w:cs="宋体"/>
          <w:sz w:val="24"/>
          <w:szCs w:val="24"/>
          <w:lang w:val="en-US" w:eastAsia="zh-CN"/>
        </w:rPr>
        <w:t>.</w:t>
      </w:r>
      <w:r>
        <w:rPr>
          <w:rFonts w:hint="eastAsia" w:ascii="宋体" w:hAnsi="宋体" w:eastAsia="宋体" w:cs="宋体"/>
          <w:sz w:val="24"/>
          <w:szCs w:val="24"/>
        </w:rPr>
        <w:t>712973元，结转结余率为4.30%。</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北京市供销干部学校</w:t>
      </w:r>
      <w:r>
        <w:rPr>
          <w:rFonts w:hint="eastAsia" w:ascii="宋体" w:hAnsi="宋体" w:eastAsia="宋体" w:cs="宋体"/>
          <w:sz w:val="24"/>
          <w:szCs w:val="24"/>
          <w:lang w:val="en-US" w:eastAsia="zh-CN"/>
        </w:rPr>
        <w:t>20</w:t>
      </w:r>
      <w:r>
        <w:rPr>
          <w:rFonts w:hint="eastAsia" w:ascii="宋体" w:hAnsi="宋体" w:eastAsia="宋体" w:cs="宋体"/>
          <w:sz w:val="24"/>
          <w:szCs w:val="24"/>
        </w:rPr>
        <w:t>22年结转结余总额91</w:t>
      </w:r>
      <w:r>
        <w:rPr>
          <w:rFonts w:hint="eastAsia" w:ascii="宋体" w:hAnsi="宋体" w:eastAsia="宋体" w:cs="宋体"/>
          <w:sz w:val="24"/>
          <w:szCs w:val="24"/>
          <w:lang w:val="en-US" w:eastAsia="zh-CN"/>
        </w:rPr>
        <w:t>.</w:t>
      </w:r>
      <w:r>
        <w:rPr>
          <w:rFonts w:hint="eastAsia" w:ascii="宋体" w:hAnsi="宋体" w:eastAsia="宋体" w:cs="宋体"/>
          <w:sz w:val="24"/>
          <w:szCs w:val="24"/>
        </w:rPr>
        <w:t>320237元，支出预算数1250</w:t>
      </w:r>
      <w:r>
        <w:rPr>
          <w:rFonts w:hint="eastAsia" w:ascii="宋体" w:hAnsi="宋体" w:eastAsia="宋体" w:cs="宋体"/>
          <w:sz w:val="24"/>
          <w:szCs w:val="24"/>
          <w:lang w:val="en-US" w:eastAsia="zh-CN"/>
        </w:rPr>
        <w:t>.</w:t>
      </w:r>
      <w:r>
        <w:rPr>
          <w:rFonts w:hint="eastAsia" w:ascii="宋体" w:hAnsi="宋体" w:eastAsia="宋体" w:cs="宋体"/>
          <w:sz w:val="24"/>
          <w:szCs w:val="24"/>
        </w:rPr>
        <w:t>860162元，结转结余率为7.30%。</w:t>
      </w:r>
    </w:p>
    <w:p>
      <w:pPr>
        <w:numPr>
          <w:ilvl w:val="0"/>
          <w:numId w:val="0"/>
        </w:numPr>
        <w:spacing w:line="360" w:lineRule="auto"/>
        <w:ind w:leftChars="200"/>
        <w:outlineLvl w:val="1"/>
        <w:rPr>
          <w:rFonts w:hint="eastAsia" w:ascii="宋体" w:hAnsi="宋体" w:eastAsia="宋体" w:cs="宋体"/>
          <w:sz w:val="24"/>
          <w:szCs w:val="24"/>
          <w:highlight w:val="none"/>
        </w:rPr>
      </w:pPr>
      <w:bookmarkStart w:id="31" w:name="_Toc6942"/>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五</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部门预决算差异率</w:t>
      </w:r>
      <w:bookmarkEnd w:id="31"/>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2022年</w:t>
      </w:r>
      <w:r>
        <w:rPr>
          <w:rFonts w:hint="eastAsia" w:ascii="宋体" w:hAnsi="宋体" w:eastAsia="宋体" w:cs="宋体"/>
          <w:i w:val="0"/>
          <w:color w:val="000000"/>
          <w:kern w:val="0"/>
          <w:sz w:val="24"/>
          <w:szCs w:val="24"/>
          <w:u w:val="none"/>
          <w:lang w:val="en-US" w:eastAsia="zh-CN" w:bidi="ar"/>
        </w:rPr>
        <w:t>部门整体</w:t>
      </w:r>
      <w:r>
        <w:rPr>
          <w:rFonts w:hint="eastAsia" w:ascii="宋体" w:hAnsi="宋体" w:eastAsia="宋体" w:cs="宋体"/>
          <w:sz w:val="24"/>
          <w:szCs w:val="24"/>
        </w:rPr>
        <w:t>年初预算支出</w:t>
      </w:r>
      <w:r>
        <w:rPr>
          <w:rFonts w:hint="eastAsia" w:ascii="宋体" w:hAnsi="宋体" w:cs="宋体"/>
          <w:sz w:val="24"/>
          <w:szCs w:val="24"/>
          <w:lang w:val="en-US" w:eastAsia="zh-CN"/>
        </w:rPr>
        <w:t>总</w:t>
      </w:r>
      <w:r>
        <w:rPr>
          <w:rFonts w:hint="eastAsia" w:ascii="宋体" w:hAnsi="宋体" w:eastAsia="宋体" w:cs="宋体"/>
          <w:sz w:val="24"/>
          <w:szCs w:val="24"/>
        </w:rPr>
        <w:t>计10187.141393万元，决算支出</w:t>
      </w:r>
      <w:r>
        <w:rPr>
          <w:rFonts w:hint="eastAsia" w:ascii="宋体" w:hAnsi="宋体" w:cs="宋体"/>
          <w:sz w:val="24"/>
          <w:szCs w:val="24"/>
          <w:lang w:val="en-US" w:eastAsia="zh-CN"/>
        </w:rPr>
        <w:t>总计</w:t>
      </w:r>
      <w:r>
        <w:rPr>
          <w:rFonts w:hint="eastAsia" w:ascii="宋体" w:hAnsi="宋体" w:eastAsia="宋体" w:cs="宋体"/>
          <w:sz w:val="24"/>
          <w:szCs w:val="24"/>
        </w:rPr>
        <w:t>10243.494365万元，执行差异率为0.55%。</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2022年北京市供销总社本社年初预算支出数0</w:t>
      </w:r>
      <w:r>
        <w:rPr>
          <w:rFonts w:hint="eastAsia" w:ascii="宋体" w:hAnsi="宋体" w:cs="宋体"/>
          <w:sz w:val="24"/>
          <w:szCs w:val="24"/>
          <w:lang w:val="en-US" w:eastAsia="zh-CN"/>
        </w:rPr>
        <w:t>万</w:t>
      </w:r>
      <w:r>
        <w:rPr>
          <w:rFonts w:hint="eastAsia" w:ascii="宋体" w:hAnsi="宋体" w:eastAsia="宋体" w:cs="宋体"/>
          <w:sz w:val="24"/>
          <w:szCs w:val="24"/>
        </w:rPr>
        <w:t>元，决算支出数290万元，执行差异率为0。</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北京市经贸高级技术学校年初预算支出</w:t>
      </w:r>
      <w:r>
        <w:rPr>
          <w:rFonts w:hint="eastAsia" w:ascii="宋体" w:hAnsi="宋体" w:cs="宋体"/>
          <w:sz w:val="24"/>
          <w:szCs w:val="24"/>
          <w:lang w:val="en-US" w:eastAsia="zh-CN"/>
        </w:rPr>
        <w:t>数</w:t>
      </w:r>
      <w:r>
        <w:rPr>
          <w:rFonts w:hint="eastAsia" w:ascii="宋体" w:hAnsi="宋体" w:eastAsia="宋体" w:cs="宋体"/>
          <w:sz w:val="24"/>
          <w:szCs w:val="24"/>
        </w:rPr>
        <w:t>6249.966956万元，决算支出</w:t>
      </w:r>
      <w:r>
        <w:rPr>
          <w:rFonts w:hint="eastAsia" w:ascii="宋体" w:hAnsi="宋体" w:cs="宋体"/>
          <w:sz w:val="24"/>
          <w:szCs w:val="24"/>
          <w:lang w:val="en-US" w:eastAsia="zh-CN"/>
        </w:rPr>
        <w:t>数</w:t>
      </w:r>
      <w:r>
        <w:rPr>
          <w:rFonts w:hint="eastAsia" w:ascii="宋体" w:hAnsi="宋体" w:eastAsia="宋体" w:cs="宋体"/>
          <w:sz w:val="24"/>
          <w:szCs w:val="24"/>
        </w:rPr>
        <w:t>5949.516409万元，执行差异率为-4.81%。</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北京市供销学校年初预算支出</w:t>
      </w:r>
      <w:r>
        <w:rPr>
          <w:rFonts w:hint="eastAsia" w:ascii="宋体" w:hAnsi="宋体" w:cs="宋体"/>
          <w:sz w:val="24"/>
          <w:szCs w:val="24"/>
          <w:lang w:val="en-US" w:eastAsia="zh-CN"/>
        </w:rPr>
        <w:t>数</w:t>
      </w:r>
      <w:r>
        <w:rPr>
          <w:rFonts w:hint="eastAsia" w:ascii="宋体" w:hAnsi="宋体" w:eastAsia="宋体" w:cs="宋体"/>
          <w:sz w:val="24"/>
          <w:szCs w:val="24"/>
        </w:rPr>
        <w:t>2785.446670万元，决算支出</w:t>
      </w:r>
      <w:r>
        <w:rPr>
          <w:rFonts w:hint="eastAsia" w:ascii="宋体" w:hAnsi="宋体" w:cs="宋体"/>
          <w:sz w:val="24"/>
          <w:szCs w:val="24"/>
          <w:lang w:val="en-US" w:eastAsia="zh-CN"/>
        </w:rPr>
        <w:t>数</w:t>
      </w:r>
      <w:r>
        <w:rPr>
          <w:rFonts w:hint="eastAsia" w:ascii="宋体" w:hAnsi="宋体" w:eastAsia="宋体" w:cs="宋体"/>
          <w:sz w:val="24"/>
          <w:szCs w:val="24"/>
        </w:rPr>
        <w:t>2844.438031万元，执行差异率为2.12%。</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北京市供销干部学校年初预算支出数1151.727767万元，决算支出数1159.539925万元，执行差异率为0.68%。</w:t>
      </w:r>
    </w:p>
    <w:p>
      <w:pPr>
        <w:numPr>
          <w:ilvl w:val="0"/>
          <w:numId w:val="6"/>
        </w:numPr>
        <w:spacing w:line="360" w:lineRule="auto"/>
        <w:ind w:left="105" w:leftChars="50" w:firstLine="361" w:firstLineChars="150"/>
        <w:outlineLvl w:val="0"/>
        <w:rPr>
          <w:rFonts w:hint="eastAsia" w:ascii="宋体" w:hAnsi="宋体" w:eastAsia="宋体" w:cs="宋体"/>
          <w:b/>
          <w:bCs/>
          <w:sz w:val="24"/>
          <w:szCs w:val="24"/>
          <w:highlight w:val="none"/>
        </w:rPr>
      </w:pPr>
      <w:bookmarkStart w:id="32" w:name="_Toc18904"/>
      <w:r>
        <w:rPr>
          <w:rFonts w:hint="eastAsia" w:ascii="宋体" w:hAnsi="宋体" w:eastAsia="宋体" w:cs="宋体"/>
          <w:b/>
          <w:bCs/>
          <w:sz w:val="24"/>
          <w:szCs w:val="24"/>
          <w:highlight w:val="none"/>
        </w:rPr>
        <w:t>总体评价结论</w:t>
      </w:r>
      <w:bookmarkEnd w:id="32"/>
    </w:p>
    <w:p>
      <w:pPr>
        <w:spacing w:line="360" w:lineRule="auto"/>
        <w:ind w:left="105" w:leftChars="50" w:firstLine="360" w:firstLineChars="150"/>
        <w:outlineLvl w:val="1"/>
        <w:rPr>
          <w:rFonts w:hint="eastAsia" w:ascii="宋体" w:hAnsi="宋体" w:eastAsia="宋体" w:cs="宋体"/>
          <w:sz w:val="24"/>
          <w:szCs w:val="24"/>
          <w:highlight w:val="none"/>
        </w:rPr>
      </w:pPr>
      <w:bookmarkStart w:id="33" w:name="_Toc14901"/>
      <w:r>
        <w:rPr>
          <w:rFonts w:hint="eastAsia" w:ascii="宋体" w:hAnsi="宋体" w:eastAsia="宋体" w:cs="宋体"/>
          <w:sz w:val="24"/>
          <w:szCs w:val="24"/>
          <w:highlight w:val="none"/>
        </w:rPr>
        <w:t>（一）评价得分情况</w:t>
      </w:r>
      <w:bookmarkEnd w:id="33"/>
    </w:p>
    <w:tbl>
      <w:tblPr>
        <w:tblStyle w:val="12"/>
        <w:tblW w:w="879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50"/>
        <w:gridCol w:w="2270"/>
        <w:gridCol w:w="2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0" w:hRule="atLeast"/>
        </w:trPr>
        <w:tc>
          <w:tcPr>
            <w:tcW w:w="879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cs="宋体"/>
                <w:i w:val="0"/>
                <w:iCs w:val="0"/>
                <w:color w:val="000000"/>
                <w:kern w:val="0"/>
                <w:sz w:val="24"/>
                <w:szCs w:val="24"/>
                <w:u w:val="none"/>
                <w:lang w:val="en-US" w:eastAsia="zh-CN" w:bidi="ar"/>
              </w:rPr>
              <w:t>表8：</w:t>
            </w:r>
            <w:r>
              <w:rPr>
                <w:rFonts w:hint="eastAsia" w:ascii="宋体" w:hAnsi="宋体" w:eastAsia="宋体" w:cs="宋体"/>
                <w:i w:val="0"/>
                <w:iCs w:val="0"/>
                <w:color w:val="000000"/>
                <w:kern w:val="0"/>
                <w:sz w:val="24"/>
                <w:szCs w:val="24"/>
                <w:u w:val="none"/>
                <w:lang w:val="en-US" w:eastAsia="zh-CN" w:bidi="ar"/>
              </w:rPr>
              <w:t>2022年部门整体绩效评价得分情况表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4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　</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分值</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4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当年预算执行情况</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4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整体绩效目标实现情况</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4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预算管理情况</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19.46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4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91.65 </w:t>
            </w:r>
          </w:p>
        </w:tc>
      </w:tr>
    </w:tbl>
    <w:p>
      <w:pPr>
        <w:numPr>
          <w:ilvl w:val="0"/>
          <w:numId w:val="0"/>
        </w:numPr>
        <w:spacing w:line="360" w:lineRule="auto"/>
        <w:ind w:leftChars="200"/>
        <w:outlineLvl w:val="9"/>
        <w:rPr>
          <w:rFonts w:hint="eastAsia" w:ascii="宋体" w:hAnsi="宋体" w:eastAsia="宋体" w:cs="宋体"/>
          <w:sz w:val="24"/>
          <w:szCs w:val="24"/>
          <w:highlight w:val="none"/>
        </w:rPr>
      </w:pPr>
    </w:p>
    <w:p>
      <w:pPr>
        <w:numPr>
          <w:ilvl w:val="0"/>
          <w:numId w:val="7"/>
        </w:numPr>
        <w:spacing w:line="360" w:lineRule="auto"/>
        <w:ind w:left="105" w:leftChars="50" w:firstLine="360" w:firstLineChars="150"/>
        <w:outlineLvl w:val="1"/>
        <w:rPr>
          <w:rFonts w:hint="eastAsia" w:ascii="宋体" w:hAnsi="宋体" w:eastAsia="宋体" w:cs="宋体"/>
          <w:sz w:val="24"/>
          <w:szCs w:val="24"/>
        </w:rPr>
      </w:pPr>
      <w:bookmarkStart w:id="34" w:name="_Toc29805"/>
      <w:r>
        <w:rPr>
          <w:rFonts w:hint="eastAsia" w:ascii="宋体" w:hAnsi="宋体" w:eastAsia="宋体" w:cs="宋体"/>
          <w:sz w:val="24"/>
          <w:szCs w:val="24"/>
          <w:highlight w:val="none"/>
        </w:rPr>
        <w:t>存在的问题及原因分析</w:t>
      </w:r>
      <w:bookmarkEnd w:id="34"/>
    </w:p>
    <w:p>
      <w:pPr>
        <w:pStyle w:val="19"/>
        <w:keepNext w:val="0"/>
        <w:keepLines w:val="0"/>
        <w:widowControl w:val="0"/>
        <w:numPr>
          <w:ilvl w:val="0"/>
          <w:numId w:val="0"/>
        </w:numPr>
        <w:shd w:val="clear" w:color="auto" w:fill="auto"/>
        <w:bidi w:val="0"/>
        <w:spacing w:before="0" w:after="200" w:line="360" w:lineRule="auto"/>
        <w:ind w:right="0" w:rightChars="0" w:firstLine="480" w:firstLineChars="200"/>
        <w:jc w:val="both"/>
        <w:rPr>
          <w:rFonts w:hint="eastAsia"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lang w:val="en-US" w:eastAsia="zh-CN"/>
        </w:rPr>
        <w:t>1.部门预算调整较高。</w:t>
      </w:r>
    </w:p>
    <w:p>
      <w:pPr>
        <w:pStyle w:val="19"/>
        <w:keepNext w:val="0"/>
        <w:keepLines w:val="0"/>
        <w:widowControl w:val="0"/>
        <w:numPr>
          <w:ilvl w:val="0"/>
          <w:numId w:val="0"/>
        </w:numPr>
        <w:shd w:val="clear" w:color="auto" w:fill="auto"/>
        <w:bidi w:val="0"/>
        <w:spacing w:before="0" w:after="200" w:line="360" w:lineRule="auto"/>
        <w:ind w:right="0" w:rightChars="0" w:firstLine="480" w:firstLineChars="200"/>
        <w:jc w:val="both"/>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lang w:val="en-US" w:eastAsia="zh-CN"/>
        </w:rPr>
        <w:t>2.绩效跟踪管理办法有待建立和完善</w:t>
      </w:r>
      <w:r>
        <w:rPr>
          <w:rFonts w:hint="eastAsia" w:ascii="宋体" w:hAnsi="宋体" w:eastAsia="宋体" w:cs="宋体"/>
          <w:color w:val="000000"/>
          <w:spacing w:val="0"/>
          <w:w w:val="100"/>
          <w:position w:val="0"/>
          <w:sz w:val="24"/>
          <w:szCs w:val="24"/>
        </w:rPr>
        <w:t>。</w:t>
      </w:r>
    </w:p>
    <w:p>
      <w:pPr>
        <w:pStyle w:val="19"/>
        <w:keepNext w:val="0"/>
        <w:keepLines w:val="0"/>
        <w:widowControl w:val="0"/>
        <w:numPr>
          <w:ilvl w:val="0"/>
          <w:numId w:val="0"/>
        </w:numPr>
        <w:shd w:val="clear" w:color="auto" w:fill="auto"/>
        <w:bidi w:val="0"/>
        <w:spacing w:before="0" w:after="200" w:line="360" w:lineRule="auto"/>
        <w:ind w:right="0" w:rightChars="0" w:firstLine="480" w:firstLineChars="200"/>
        <w:jc w:val="both"/>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lang w:val="en-US" w:eastAsia="zh-CN"/>
        </w:rPr>
        <w:t>3.</w:t>
      </w:r>
      <w:r>
        <w:rPr>
          <w:rFonts w:hint="eastAsia" w:ascii="宋体" w:hAnsi="宋体" w:eastAsia="宋体" w:cs="宋体"/>
          <w:color w:val="000000"/>
          <w:spacing w:val="0"/>
          <w:w w:val="100"/>
          <w:position w:val="0"/>
          <w:sz w:val="24"/>
          <w:szCs w:val="24"/>
        </w:rPr>
        <w:t>项目进度</w:t>
      </w:r>
      <w:r>
        <w:rPr>
          <w:rFonts w:hint="eastAsia" w:ascii="宋体" w:hAnsi="宋体" w:eastAsia="宋体" w:cs="宋体"/>
          <w:color w:val="000000"/>
          <w:spacing w:val="0"/>
          <w:w w:val="100"/>
          <w:position w:val="0"/>
          <w:sz w:val="24"/>
          <w:szCs w:val="24"/>
          <w:lang w:val="en-US" w:eastAsia="zh-CN"/>
        </w:rPr>
        <w:t>存在</w:t>
      </w:r>
      <w:r>
        <w:rPr>
          <w:rFonts w:hint="eastAsia" w:ascii="宋体" w:hAnsi="宋体" w:eastAsia="宋体" w:cs="宋体"/>
          <w:color w:val="000000"/>
          <w:spacing w:val="0"/>
          <w:w w:val="100"/>
          <w:position w:val="0"/>
          <w:sz w:val="24"/>
          <w:szCs w:val="24"/>
        </w:rPr>
        <w:t>滞后问题，</w:t>
      </w:r>
      <w:r>
        <w:rPr>
          <w:rFonts w:hint="eastAsia" w:ascii="宋体" w:hAnsi="宋体" w:eastAsia="宋体" w:cs="宋体"/>
          <w:color w:val="000000"/>
          <w:spacing w:val="0"/>
          <w:w w:val="100"/>
          <w:position w:val="0"/>
          <w:sz w:val="24"/>
          <w:szCs w:val="24"/>
          <w:lang w:val="en-US" w:eastAsia="zh-CN"/>
        </w:rPr>
        <w:t>主要由于疫情原因</w:t>
      </w:r>
      <w:r>
        <w:rPr>
          <w:rFonts w:hint="eastAsia" w:ascii="宋体" w:hAnsi="宋体" w:eastAsia="宋体" w:cs="宋体"/>
          <w:color w:val="000000"/>
          <w:spacing w:val="0"/>
          <w:w w:val="100"/>
          <w:position w:val="0"/>
          <w:sz w:val="24"/>
          <w:szCs w:val="24"/>
        </w:rPr>
        <w:t>。</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4.调查问卷活动组织有疏漏之处，调查问卷设计需要细化。</w:t>
      </w:r>
    </w:p>
    <w:p>
      <w:pPr>
        <w:spacing w:line="360" w:lineRule="auto"/>
        <w:ind w:firstLine="482" w:firstLineChars="200"/>
        <w:outlineLvl w:val="0"/>
        <w:rPr>
          <w:rFonts w:hint="eastAsia" w:ascii="宋体" w:hAnsi="宋体" w:eastAsia="宋体" w:cs="宋体"/>
          <w:b/>
          <w:bCs/>
          <w:color w:val="000000"/>
          <w:kern w:val="0"/>
          <w:sz w:val="24"/>
          <w:szCs w:val="24"/>
          <w:highlight w:val="none"/>
        </w:rPr>
      </w:pPr>
    </w:p>
    <w:p>
      <w:pPr>
        <w:spacing w:line="360" w:lineRule="auto"/>
        <w:ind w:firstLine="482" w:firstLineChars="200"/>
        <w:outlineLvl w:val="0"/>
        <w:rPr>
          <w:rFonts w:hint="eastAsia" w:ascii="宋体" w:hAnsi="宋体" w:eastAsia="宋体" w:cs="宋体"/>
          <w:b/>
          <w:bCs/>
          <w:color w:val="000000"/>
          <w:kern w:val="0"/>
          <w:sz w:val="24"/>
          <w:szCs w:val="24"/>
          <w:highlight w:val="none"/>
        </w:rPr>
      </w:pPr>
      <w:bookmarkStart w:id="35" w:name="_Toc24844"/>
      <w:r>
        <w:rPr>
          <w:rFonts w:hint="eastAsia" w:ascii="宋体" w:hAnsi="宋体" w:eastAsia="宋体" w:cs="宋体"/>
          <w:b/>
          <w:bCs/>
          <w:color w:val="000000"/>
          <w:kern w:val="0"/>
          <w:sz w:val="24"/>
          <w:szCs w:val="24"/>
          <w:highlight w:val="none"/>
        </w:rPr>
        <w:t>六、措施建议</w:t>
      </w:r>
      <w:bookmarkEnd w:id="35"/>
    </w:p>
    <w:p>
      <w:pPr>
        <w:spacing w:line="360" w:lineRule="auto"/>
        <w:ind w:firstLine="480" w:firstLineChars="200"/>
        <w:outlineLvl w:val="9"/>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针对本次绩效评价中发现的问题，建议如下：</w:t>
      </w:r>
    </w:p>
    <w:p>
      <w:pPr>
        <w:pStyle w:val="19"/>
        <w:keepNext w:val="0"/>
        <w:keepLines w:val="0"/>
        <w:widowControl w:val="0"/>
        <w:numPr>
          <w:ilvl w:val="0"/>
          <w:numId w:val="0"/>
        </w:numPr>
        <w:shd w:val="clear" w:color="auto" w:fill="auto"/>
        <w:tabs>
          <w:tab w:val="left" w:pos="1657"/>
        </w:tabs>
        <w:bidi w:val="0"/>
        <w:spacing w:before="0" w:after="0" w:line="360" w:lineRule="auto"/>
        <w:ind w:right="0" w:rightChars="0" w:firstLine="480" w:firstLineChars="20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en-US" w:eastAsia="zh-CN"/>
        </w:rPr>
        <w:t>1.</w:t>
      </w:r>
      <w:r>
        <w:rPr>
          <w:rFonts w:hint="eastAsia" w:ascii="宋体" w:hAnsi="宋体" w:eastAsia="宋体" w:cs="宋体"/>
          <w:color w:val="000000"/>
          <w:spacing w:val="0"/>
          <w:w w:val="100"/>
          <w:position w:val="0"/>
          <w:sz w:val="24"/>
          <w:szCs w:val="24"/>
        </w:rPr>
        <w:t>提高部门预算编制质量。针对预算调整率</w:t>
      </w:r>
      <w:r>
        <w:rPr>
          <w:rFonts w:hint="eastAsia" w:ascii="宋体" w:hAnsi="宋体" w:eastAsia="宋体" w:cs="宋体"/>
          <w:color w:val="000000"/>
          <w:spacing w:val="0"/>
          <w:w w:val="100"/>
          <w:position w:val="0"/>
          <w:sz w:val="24"/>
          <w:szCs w:val="24"/>
          <w:lang w:val="en-US" w:eastAsia="zh-CN"/>
        </w:rPr>
        <w:t>较高</w:t>
      </w:r>
      <w:r>
        <w:rPr>
          <w:rFonts w:hint="eastAsia" w:ascii="宋体" w:hAnsi="宋体" w:eastAsia="宋体" w:cs="宋体"/>
          <w:color w:val="000000"/>
          <w:spacing w:val="0"/>
          <w:w w:val="100"/>
          <w:position w:val="0"/>
          <w:sz w:val="24"/>
          <w:szCs w:val="24"/>
        </w:rPr>
        <w:t>的问题，建议结合项目的安排情况，加强对预算支出的预测能力，合理测算年度预算，提高预算编制质量。</w:t>
      </w:r>
    </w:p>
    <w:p>
      <w:pPr>
        <w:pStyle w:val="19"/>
        <w:keepNext w:val="0"/>
        <w:keepLines w:val="0"/>
        <w:widowControl w:val="0"/>
        <w:numPr>
          <w:ilvl w:val="0"/>
          <w:numId w:val="0"/>
        </w:numPr>
        <w:shd w:val="clear" w:color="auto" w:fill="auto"/>
        <w:bidi w:val="0"/>
        <w:spacing w:before="0" w:after="200" w:line="360" w:lineRule="auto"/>
        <w:ind w:right="0" w:rightChars="0" w:firstLine="480" w:firstLineChars="200"/>
        <w:jc w:val="both"/>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lang w:val="en-US" w:eastAsia="zh-CN"/>
        </w:rPr>
        <w:t>2.绩效跟踪管理办法有待建立和完善</w:t>
      </w:r>
      <w:r>
        <w:rPr>
          <w:rFonts w:hint="eastAsia" w:ascii="宋体" w:hAnsi="宋体" w:eastAsia="宋体" w:cs="宋体"/>
          <w:color w:val="000000"/>
          <w:spacing w:val="0"/>
          <w:w w:val="100"/>
          <w:position w:val="0"/>
          <w:sz w:val="24"/>
          <w:szCs w:val="24"/>
        </w:rPr>
        <w:t>。针对个别项目进度</w:t>
      </w:r>
      <w:r>
        <w:rPr>
          <w:rFonts w:hint="eastAsia" w:ascii="宋体" w:hAnsi="宋体" w:eastAsia="宋体" w:cs="宋体"/>
          <w:color w:val="000000"/>
          <w:spacing w:val="0"/>
          <w:w w:val="100"/>
          <w:position w:val="0"/>
          <w:sz w:val="24"/>
          <w:szCs w:val="24"/>
          <w:lang w:val="en-US" w:eastAsia="zh-CN"/>
        </w:rPr>
        <w:t>延后</w:t>
      </w:r>
      <w:r>
        <w:rPr>
          <w:rFonts w:hint="eastAsia" w:ascii="宋体" w:hAnsi="宋体" w:eastAsia="宋体" w:cs="宋体"/>
          <w:color w:val="000000"/>
          <w:spacing w:val="0"/>
          <w:w w:val="100"/>
          <w:position w:val="0"/>
          <w:sz w:val="24"/>
          <w:szCs w:val="24"/>
        </w:rPr>
        <w:t>问题，建议加强绩效监控，对各项目进行动态跟踪，加强项目进度管理，保障各项工作顺利推进，加快项目完成进度。</w:t>
      </w:r>
      <w:bookmarkStart w:id="36" w:name="bookmark163"/>
      <w:bookmarkEnd w:id="36"/>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3.合理组织开展调查活动，细化问卷设计，丰富问卷问题选项，加强对调查问卷的统计分析和结果应用，不断改进管理，持续提升资金使用绩效。</w:t>
      </w:r>
    </w:p>
    <w:p>
      <w:pPr>
        <w:adjustRightInd w:val="0"/>
        <w:snapToGrid w:val="0"/>
        <w:spacing w:line="360" w:lineRule="auto"/>
        <w:rPr>
          <w:rFonts w:hint="eastAsia" w:ascii="宋体" w:hAnsi="宋体" w:eastAsia="宋体" w:cs="宋体"/>
          <w:sz w:val="24"/>
          <w:szCs w:val="24"/>
        </w:rPr>
      </w:pPr>
      <w:bookmarkStart w:id="37" w:name="_GoBack"/>
      <w:bookmarkEnd w:id="37"/>
    </w:p>
    <w:p>
      <w:pPr>
        <w:spacing w:line="560" w:lineRule="exact"/>
        <w:jc w:val="left"/>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ì.">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single" w:color="auto" w:sz="4" w:space="1"/>
      </w:pBdr>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- 2 -</w:t>
                    </w:r>
                    <w:r>
                      <w:fldChar w:fldCharType="end"/>
                    </w:r>
                  </w:p>
                </w:txbxContent>
              </v:textbox>
            </v:shape>
          </w:pict>
        </mc:Fallback>
      </mc:AlternateContent>
    </w:r>
  </w:p>
  <w:p>
    <w:pPr>
      <w:pStyle w:val="6"/>
      <w:jc w:val="righ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D5B1B0"/>
    <w:multiLevelType w:val="singleLevel"/>
    <w:tmpl w:val="92D5B1B0"/>
    <w:lvl w:ilvl="0" w:tentative="0">
      <w:start w:val="5"/>
      <w:numFmt w:val="chineseCounting"/>
      <w:suff w:val="nothing"/>
      <w:lvlText w:val="%1、"/>
      <w:lvlJc w:val="left"/>
      <w:rPr>
        <w:rFonts w:hint="eastAsia"/>
      </w:rPr>
    </w:lvl>
  </w:abstractNum>
  <w:abstractNum w:abstractNumId="1">
    <w:nsid w:val="A816D104"/>
    <w:multiLevelType w:val="singleLevel"/>
    <w:tmpl w:val="A816D104"/>
    <w:lvl w:ilvl="0" w:tentative="0">
      <w:start w:val="2"/>
      <w:numFmt w:val="chineseCounting"/>
      <w:suff w:val="nothing"/>
      <w:lvlText w:val="（%1）"/>
      <w:lvlJc w:val="left"/>
      <w:rPr>
        <w:rFonts w:hint="eastAsia"/>
      </w:rPr>
    </w:lvl>
  </w:abstractNum>
  <w:abstractNum w:abstractNumId="2">
    <w:nsid w:val="C8800DE2"/>
    <w:multiLevelType w:val="singleLevel"/>
    <w:tmpl w:val="C8800DE2"/>
    <w:lvl w:ilvl="0" w:tentative="0">
      <w:start w:val="1"/>
      <w:numFmt w:val="decimal"/>
      <w:suff w:val="nothing"/>
      <w:lvlText w:val="%1．"/>
      <w:lvlJc w:val="left"/>
    </w:lvl>
  </w:abstractNum>
  <w:abstractNum w:abstractNumId="3">
    <w:nsid w:val="076F2505"/>
    <w:multiLevelType w:val="singleLevel"/>
    <w:tmpl w:val="076F2505"/>
    <w:lvl w:ilvl="0" w:tentative="0">
      <w:start w:val="1"/>
      <w:numFmt w:val="decimal"/>
      <w:lvlText w:val="%1."/>
      <w:lvlJc w:val="left"/>
      <w:pPr>
        <w:tabs>
          <w:tab w:val="left" w:pos="312"/>
        </w:tabs>
      </w:pPr>
    </w:lvl>
  </w:abstractNum>
  <w:abstractNum w:abstractNumId="4">
    <w:nsid w:val="29026BB8"/>
    <w:multiLevelType w:val="singleLevel"/>
    <w:tmpl w:val="29026BB8"/>
    <w:lvl w:ilvl="0" w:tentative="0">
      <w:start w:val="1"/>
      <w:numFmt w:val="chineseCounting"/>
      <w:suff w:val="nothing"/>
      <w:lvlText w:val="%1、"/>
      <w:lvlJc w:val="left"/>
      <w:rPr>
        <w:rFonts w:hint="eastAsia"/>
      </w:rPr>
    </w:lvl>
  </w:abstractNum>
  <w:abstractNum w:abstractNumId="5">
    <w:nsid w:val="2E86B307"/>
    <w:multiLevelType w:val="singleLevel"/>
    <w:tmpl w:val="2E86B307"/>
    <w:lvl w:ilvl="0" w:tentative="0">
      <w:start w:val="1"/>
      <w:numFmt w:val="decimal"/>
      <w:suff w:val="space"/>
      <w:lvlText w:val="%1."/>
      <w:lvlJc w:val="left"/>
    </w:lvl>
  </w:abstractNum>
  <w:abstractNum w:abstractNumId="6">
    <w:nsid w:val="400E092C"/>
    <w:multiLevelType w:val="singleLevel"/>
    <w:tmpl w:val="400E092C"/>
    <w:lvl w:ilvl="0" w:tentative="0">
      <w:start w:val="2"/>
      <w:numFmt w:val="chineseCounting"/>
      <w:suff w:val="nothing"/>
      <w:lvlText w:val="（%1）"/>
      <w:lvlJc w:val="left"/>
      <w:rPr>
        <w:rFonts w:hint="eastAsia"/>
      </w:r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1MTA2MjU3ODgzMDhkMzE0ZTU0MjU4NGU4NDljNDMifQ=="/>
  </w:docVars>
  <w:rsids>
    <w:rsidRoot w:val="F77F09F4"/>
    <w:rsid w:val="001E5EDB"/>
    <w:rsid w:val="01170C55"/>
    <w:rsid w:val="04463D2B"/>
    <w:rsid w:val="04846602"/>
    <w:rsid w:val="059C65E4"/>
    <w:rsid w:val="086724C2"/>
    <w:rsid w:val="0ABD286D"/>
    <w:rsid w:val="0BAB6B6A"/>
    <w:rsid w:val="0CCC4FEA"/>
    <w:rsid w:val="0E5A2C58"/>
    <w:rsid w:val="0E5C239D"/>
    <w:rsid w:val="0EBE6BB4"/>
    <w:rsid w:val="104B4477"/>
    <w:rsid w:val="122E5DFF"/>
    <w:rsid w:val="12751C80"/>
    <w:rsid w:val="12884E33"/>
    <w:rsid w:val="14B922F8"/>
    <w:rsid w:val="175F53D8"/>
    <w:rsid w:val="178C784F"/>
    <w:rsid w:val="17D11681"/>
    <w:rsid w:val="17E4768B"/>
    <w:rsid w:val="1838047A"/>
    <w:rsid w:val="1867206B"/>
    <w:rsid w:val="18B03A11"/>
    <w:rsid w:val="19D43730"/>
    <w:rsid w:val="1A1D50D7"/>
    <w:rsid w:val="1A1E062B"/>
    <w:rsid w:val="1BA337AA"/>
    <w:rsid w:val="1C6A2129"/>
    <w:rsid w:val="1CD14F1A"/>
    <w:rsid w:val="1D0D23D8"/>
    <w:rsid w:val="1D8F1E47"/>
    <w:rsid w:val="241D3D38"/>
    <w:rsid w:val="27CE7A10"/>
    <w:rsid w:val="284C123B"/>
    <w:rsid w:val="286F2FA1"/>
    <w:rsid w:val="299E3412"/>
    <w:rsid w:val="29D45CAB"/>
    <w:rsid w:val="2B6C1A1A"/>
    <w:rsid w:val="2BEF06AD"/>
    <w:rsid w:val="2C3B13EC"/>
    <w:rsid w:val="31132938"/>
    <w:rsid w:val="3138414C"/>
    <w:rsid w:val="34FA0097"/>
    <w:rsid w:val="36377B5F"/>
    <w:rsid w:val="37173543"/>
    <w:rsid w:val="37603B4A"/>
    <w:rsid w:val="378150EA"/>
    <w:rsid w:val="37A91900"/>
    <w:rsid w:val="38DD5D05"/>
    <w:rsid w:val="3A3A0F35"/>
    <w:rsid w:val="3A7461F5"/>
    <w:rsid w:val="3B2B2621"/>
    <w:rsid w:val="3B451940"/>
    <w:rsid w:val="3D0A5393"/>
    <w:rsid w:val="3DFA1107"/>
    <w:rsid w:val="3E9A6446"/>
    <w:rsid w:val="3F9B5FD2"/>
    <w:rsid w:val="3FDBA076"/>
    <w:rsid w:val="3FDD483D"/>
    <w:rsid w:val="3FDFB3F0"/>
    <w:rsid w:val="3FDFC9A6"/>
    <w:rsid w:val="3FF6224B"/>
    <w:rsid w:val="3FF76880"/>
    <w:rsid w:val="40416B7A"/>
    <w:rsid w:val="40526FD9"/>
    <w:rsid w:val="419B49AF"/>
    <w:rsid w:val="42276243"/>
    <w:rsid w:val="430640AA"/>
    <w:rsid w:val="43452E25"/>
    <w:rsid w:val="439B6B06"/>
    <w:rsid w:val="43AF64F0"/>
    <w:rsid w:val="44627698"/>
    <w:rsid w:val="451E5158"/>
    <w:rsid w:val="46162856"/>
    <w:rsid w:val="47CD5197"/>
    <w:rsid w:val="49263F1A"/>
    <w:rsid w:val="49BB5BEF"/>
    <w:rsid w:val="4A394D65"/>
    <w:rsid w:val="4AC40AD3"/>
    <w:rsid w:val="4B412124"/>
    <w:rsid w:val="4CC4300C"/>
    <w:rsid w:val="4D866514"/>
    <w:rsid w:val="4DD609E2"/>
    <w:rsid w:val="4E393586"/>
    <w:rsid w:val="50B52C6C"/>
    <w:rsid w:val="510065DD"/>
    <w:rsid w:val="5167040A"/>
    <w:rsid w:val="534F500E"/>
    <w:rsid w:val="545165D4"/>
    <w:rsid w:val="54FE4BE1"/>
    <w:rsid w:val="551C62F0"/>
    <w:rsid w:val="58005114"/>
    <w:rsid w:val="58EF1411"/>
    <w:rsid w:val="59011144"/>
    <w:rsid w:val="5A1153B7"/>
    <w:rsid w:val="5A6E2809"/>
    <w:rsid w:val="5A7F4A16"/>
    <w:rsid w:val="5AFF16B3"/>
    <w:rsid w:val="5B647768"/>
    <w:rsid w:val="5B6F05E7"/>
    <w:rsid w:val="5BFD4AC2"/>
    <w:rsid w:val="5EF57055"/>
    <w:rsid w:val="61DF5A59"/>
    <w:rsid w:val="61F555BE"/>
    <w:rsid w:val="620D0B5A"/>
    <w:rsid w:val="63586994"/>
    <w:rsid w:val="671604B0"/>
    <w:rsid w:val="675E70DF"/>
    <w:rsid w:val="67759716"/>
    <w:rsid w:val="6AD22940"/>
    <w:rsid w:val="6BCC5278"/>
    <w:rsid w:val="6C2D75F1"/>
    <w:rsid w:val="6C53185F"/>
    <w:rsid w:val="6C880225"/>
    <w:rsid w:val="6D5261F9"/>
    <w:rsid w:val="6ECD58F9"/>
    <w:rsid w:val="6F7ED27B"/>
    <w:rsid w:val="6F834209"/>
    <w:rsid w:val="6FD11419"/>
    <w:rsid w:val="703D390F"/>
    <w:rsid w:val="708F1BED"/>
    <w:rsid w:val="717464FF"/>
    <w:rsid w:val="72323CC5"/>
    <w:rsid w:val="72D8486C"/>
    <w:rsid w:val="73886292"/>
    <w:rsid w:val="74CE4A76"/>
    <w:rsid w:val="74EE0377"/>
    <w:rsid w:val="75B17A7C"/>
    <w:rsid w:val="75D03F20"/>
    <w:rsid w:val="76911902"/>
    <w:rsid w:val="76D25D65"/>
    <w:rsid w:val="77C81353"/>
    <w:rsid w:val="78CC6C21"/>
    <w:rsid w:val="795C4769"/>
    <w:rsid w:val="7AB7FF50"/>
    <w:rsid w:val="7AEAF641"/>
    <w:rsid w:val="7B5829EE"/>
    <w:rsid w:val="7BAD2729"/>
    <w:rsid w:val="7BEE5100"/>
    <w:rsid w:val="7BFEB0DB"/>
    <w:rsid w:val="7D627B54"/>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5">
    <w:name w:val="toc 3"/>
    <w:basedOn w:val="1"/>
    <w:next w:val="1"/>
    <w:qFormat/>
    <w:uiPriority w:val="0"/>
    <w:pPr>
      <w:ind w:left="840" w:leftChars="400"/>
    </w:p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character" w:styleId="11">
    <w:name w:val="page number"/>
    <w:basedOn w:val="10"/>
    <w:qFormat/>
    <w:uiPriority w:val="0"/>
    <w:rPr>
      <w:rFonts w:cs="Times New Roma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列出段落1"/>
    <w:basedOn w:val="1"/>
    <w:qFormat/>
    <w:uiPriority w:val="34"/>
    <w:pPr>
      <w:ind w:firstLine="420" w:firstLineChars="200"/>
    </w:pPr>
    <w:rPr>
      <w:rFonts w:ascii="Calibri" w:hAnsi="Calibri" w:cs="黑体"/>
      <w:szCs w:val="22"/>
    </w:rPr>
  </w:style>
  <w:style w:type="paragraph" w:customStyle="1" w:styleId="15">
    <w:name w:val="Heading #1|1"/>
    <w:basedOn w:val="1"/>
    <w:qFormat/>
    <w:uiPriority w:val="0"/>
    <w:pPr>
      <w:widowControl w:val="0"/>
      <w:shd w:val="clear" w:color="auto" w:fill="auto"/>
      <w:spacing w:after="3080" w:line="934" w:lineRule="exact"/>
      <w:jc w:val="center"/>
      <w:outlineLvl w:val="0"/>
    </w:pPr>
    <w:rPr>
      <w:rFonts w:ascii="宋体" w:hAnsi="宋体" w:eastAsia="宋体" w:cs="宋体"/>
      <w:sz w:val="48"/>
      <w:szCs w:val="48"/>
      <w:u w:val="none"/>
      <w:shd w:val="clear" w:color="auto" w:fill="auto"/>
      <w:lang w:val="zh-TW" w:eastAsia="zh-TW" w:bidi="zh-TW"/>
    </w:rPr>
  </w:style>
  <w:style w:type="paragraph" w:customStyle="1" w:styleId="16">
    <w:name w:val="Body text|1"/>
    <w:basedOn w:val="1"/>
    <w:qFormat/>
    <w:uiPriority w:val="0"/>
    <w:pPr>
      <w:widowControl w:val="0"/>
      <w:shd w:val="clear" w:color="auto" w:fill="auto"/>
      <w:spacing w:after="220" w:line="620" w:lineRule="exact"/>
    </w:pPr>
    <w:rPr>
      <w:rFonts w:ascii="宋体" w:hAnsi="宋体" w:eastAsia="宋体" w:cs="宋体"/>
      <w:sz w:val="30"/>
      <w:szCs w:val="30"/>
      <w:u w:val="single"/>
      <w:shd w:val="clear" w:color="auto" w:fill="auto"/>
      <w:lang w:val="zh-TW" w:eastAsia="zh-TW" w:bidi="zh-TW"/>
    </w:rPr>
  </w:style>
  <w:style w:type="paragraph" w:customStyle="1" w:styleId="17">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customStyle="1" w:styleId="18">
    <w:name w:val="Heading #2|1"/>
    <w:basedOn w:val="1"/>
    <w:qFormat/>
    <w:uiPriority w:val="0"/>
    <w:pPr>
      <w:widowControl w:val="0"/>
      <w:shd w:val="clear" w:color="auto" w:fill="auto"/>
      <w:jc w:val="center"/>
      <w:outlineLvl w:val="1"/>
    </w:pPr>
    <w:rPr>
      <w:rFonts w:ascii="宋体" w:hAnsi="宋体" w:eastAsia="宋体" w:cs="宋体"/>
      <w:sz w:val="36"/>
      <w:szCs w:val="36"/>
      <w:u w:val="none"/>
      <w:shd w:val="clear" w:color="auto" w:fill="auto"/>
      <w:lang w:val="zh-TW" w:eastAsia="zh-TW" w:bidi="zh-TW"/>
    </w:rPr>
  </w:style>
  <w:style w:type="paragraph" w:customStyle="1" w:styleId="19">
    <w:name w:val="Body text|2"/>
    <w:basedOn w:val="1"/>
    <w:qFormat/>
    <w:uiPriority w:val="0"/>
    <w:pPr>
      <w:widowControl w:val="0"/>
      <w:shd w:val="clear" w:color="auto" w:fill="auto"/>
      <w:spacing w:after="280"/>
    </w:pPr>
    <w:rPr>
      <w:rFonts w:ascii="宋体" w:hAnsi="宋体" w:eastAsia="宋体" w:cs="宋体"/>
      <w:sz w:val="26"/>
      <w:szCs w:val="26"/>
      <w:u w:val="none"/>
      <w:shd w:val="clear" w:color="auto" w:fill="auto"/>
      <w:lang w:val="zh-TW" w:eastAsia="zh-TW" w:bidi="zh-TW"/>
    </w:rPr>
  </w:style>
  <w:style w:type="paragraph" w:customStyle="1" w:styleId="20">
    <w:name w:val="Header or footer|1"/>
    <w:basedOn w:val="1"/>
    <w:qFormat/>
    <w:uiPriority w:val="0"/>
    <w:pPr>
      <w:widowControl w:val="0"/>
      <w:shd w:val="clear" w:color="auto" w:fill="auto"/>
    </w:pPr>
    <w:rPr>
      <w:sz w:val="26"/>
      <w:szCs w:val="26"/>
      <w:u w:val="none"/>
      <w:shd w:val="clear" w:color="auto" w:fill="auto"/>
      <w:lang w:val="zh-TW" w:eastAsia="zh-TW" w:bidi="zh-TW"/>
    </w:rPr>
  </w:style>
  <w:style w:type="character" w:customStyle="1" w:styleId="21">
    <w:name w:val="font11"/>
    <w:basedOn w:val="10"/>
    <w:qFormat/>
    <w:uiPriority w:val="0"/>
    <w:rPr>
      <w:rFonts w:hint="default" w:ascii="方正小标宋简体" w:hAnsi="方正小标宋简体" w:eastAsia="方正小标宋简体" w:cs="方正小标宋简体"/>
      <w:color w:val="000000"/>
      <w:sz w:val="44"/>
      <w:szCs w:val="44"/>
      <w:u w:val="none"/>
    </w:rPr>
  </w:style>
  <w:style w:type="character" w:customStyle="1" w:styleId="22">
    <w:name w:val="font21"/>
    <w:basedOn w:val="10"/>
    <w:qFormat/>
    <w:uiPriority w:val="0"/>
    <w:rPr>
      <w:rFonts w:hint="eastAsia" w:ascii="宋体" w:hAnsi="宋体" w:eastAsia="宋体" w:cs="宋体"/>
      <w:color w:val="000000"/>
      <w:sz w:val="20"/>
      <w:szCs w:val="20"/>
      <w:u w:val="none"/>
    </w:rPr>
  </w:style>
  <w:style w:type="character" w:customStyle="1" w:styleId="23">
    <w:name w:val="font41"/>
    <w:basedOn w:val="10"/>
    <w:qFormat/>
    <w:uiPriority w:val="0"/>
    <w:rPr>
      <w:rFonts w:hint="eastAsia" w:ascii="宋体" w:hAnsi="宋体" w:eastAsia="宋体" w:cs="宋体"/>
      <w:color w:val="000000"/>
      <w:sz w:val="16"/>
      <w:szCs w:val="16"/>
      <w:u w:val="none"/>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uiPriority w:val="0"/>
    <w:pPr>
      <w:ind w:leftChars="200"/>
    </w:pPr>
    <w:rPr>
      <w:rFonts w:ascii="Times New Roman" w:hAnsi="Times New Roman" w:eastAsia="宋体" w:cs="Times New Roman"/>
      <w:sz w:val="20"/>
      <w:szCs w:val="20"/>
    </w:rPr>
  </w:style>
  <w:style w:type="paragraph" w:customStyle="1" w:styleId="26">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5639</Words>
  <Characters>6999</Characters>
  <Lines>0</Lines>
  <Paragraphs>0</Paragraphs>
  <TotalTime>137</TotalTime>
  <ScaleCrop>false</ScaleCrop>
  <LinksUpToDate>false</LinksUpToDate>
  <CharactersWithSpaces>7522</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王海平</cp:lastModifiedBy>
  <cp:lastPrinted>2023-05-19T02:24:00Z</cp:lastPrinted>
  <dcterms:modified xsi:type="dcterms:W3CDTF">2023-08-15T02:49:14Z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533A0F3A43E841D29000B2FD75187FD8_13</vt:lpwstr>
  </property>
</Properties>
</file>