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216" w:rsidRDefault="00A8438D">
      <w:pPr>
        <w:spacing w:line="580" w:lineRule="exact"/>
        <w:ind w:firstLineChars="200" w:firstLine="560"/>
        <w:jc w:val="center"/>
        <w:rPr>
          <w:rFonts w:ascii="黑体" w:eastAsia="黑体"/>
          <w:sz w:val="28"/>
          <w:szCs w:val="28"/>
        </w:rPr>
      </w:pPr>
      <w:r>
        <w:rPr>
          <w:rFonts w:ascii="黑体" w:eastAsia="黑体" w:hint="eastAsia"/>
          <w:sz w:val="28"/>
          <w:szCs w:val="28"/>
        </w:rPr>
        <w:t>部门整体绩效评价报告</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（一）部门概况</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w:t>
      </w:r>
      <w:r>
        <w:rPr>
          <w:rFonts w:ascii="仿宋_GB2312" w:eastAsia="仿宋_GB2312" w:hAnsi="仿宋_GB2312" w:cs="仿宋_GB2312" w:hint="eastAsia"/>
          <w:color w:val="000000"/>
          <w:kern w:val="0"/>
          <w:sz w:val="28"/>
          <w:szCs w:val="28"/>
        </w:rPr>
        <w:t>机构设置及职责工作任务情况</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中共北京市委研究室包括行政单位</w:t>
      </w: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家（市委研究室本级），事业单位</w:t>
      </w: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家（首都社会经济发展研究所）。</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根据北京市机构编制委员会办公室《关于同意调整市委研究室（市委改革办）内设机构设置的函》（京编办行</w:t>
      </w:r>
      <w:r>
        <w:rPr>
          <w:rFonts w:ascii="仿宋_GB2312" w:eastAsia="仿宋_GB2312" w:hAnsi="仿宋_GB2312" w:cs="仿宋_GB2312"/>
          <w:color w:val="000000"/>
          <w:kern w:val="0"/>
          <w:sz w:val="28"/>
          <w:szCs w:val="28"/>
        </w:rPr>
        <w:t>[2016]53</w:t>
      </w:r>
      <w:r>
        <w:rPr>
          <w:rFonts w:ascii="仿宋_GB2312" w:eastAsia="仿宋_GB2312" w:hAnsi="仿宋_GB2312" w:cs="仿宋_GB2312" w:hint="eastAsia"/>
          <w:color w:val="000000"/>
          <w:kern w:val="0"/>
          <w:sz w:val="28"/>
          <w:szCs w:val="28"/>
        </w:rPr>
        <w:t>号）、《关于同意市委研究室（市委改革办）独立设置人事处的函》（京编办行</w:t>
      </w:r>
      <w:r>
        <w:rPr>
          <w:rFonts w:ascii="仿宋_GB2312" w:eastAsia="仿宋_GB2312" w:hAnsi="仿宋_GB2312" w:cs="仿宋_GB2312"/>
          <w:color w:val="000000"/>
          <w:kern w:val="0"/>
          <w:sz w:val="28"/>
          <w:szCs w:val="28"/>
        </w:rPr>
        <w:t>[2017]211</w:t>
      </w:r>
      <w:r>
        <w:rPr>
          <w:rFonts w:ascii="仿宋_GB2312" w:eastAsia="仿宋_GB2312" w:hAnsi="仿宋_GB2312" w:cs="仿宋_GB2312" w:hint="eastAsia"/>
          <w:color w:val="000000"/>
          <w:kern w:val="0"/>
          <w:sz w:val="28"/>
          <w:szCs w:val="28"/>
        </w:rPr>
        <w:t>号）和《关于调整市委研究室（市委改革办）内设机构设置的函》（京编办行</w:t>
      </w:r>
      <w:r>
        <w:rPr>
          <w:rFonts w:ascii="仿宋_GB2312" w:eastAsia="仿宋_GB2312" w:hAnsi="仿宋_GB2312" w:cs="仿宋_GB2312"/>
          <w:color w:val="000000"/>
          <w:kern w:val="0"/>
          <w:sz w:val="28"/>
          <w:szCs w:val="28"/>
        </w:rPr>
        <w:t>[2018]47</w:t>
      </w:r>
      <w:r>
        <w:rPr>
          <w:rFonts w:ascii="仿宋_GB2312" w:eastAsia="仿宋_GB2312" w:hAnsi="仿宋_GB2312" w:cs="仿宋_GB2312" w:hint="eastAsia"/>
          <w:color w:val="000000"/>
          <w:kern w:val="0"/>
          <w:sz w:val="28"/>
          <w:szCs w:val="28"/>
        </w:rPr>
        <w:t>号），市委研究室设</w:t>
      </w:r>
      <w:r>
        <w:rPr>
          <w:rFonts w:ascii="仿宋_GB2312" w:eastAsia="仿宋_GB2312" w:hAnsi="仿宋_GB2312" w:cs="仿宋_GB2312"/>
          <w:color w:val="000000"/>
          <w:kern w:val="0"/>
          <w:sz w:val="28"/>
          <w:szCs w:val="28"/>
        </w:rPr>
        <w:t>12</w:t>
      </w:r>
      <w:r>
        <w:rPr>
          <w:rFonts w:ascii="仿宋_GB2312" w:eastAsia="仿宋_GB2312" w:hAnsi="仿宋_GB2312" w:cs="仿宋_GB2312" w:hint="eastAsia"/>
          <w:color w:val="000000"/>
          <w:kern w:val="0"/>
          <w:sz w:val="28"/>
          <w:szCs w:val="28"/>
        </w:rPr>
        <w:t>个内设机构和机关党委，分别为办公室、人事处、城市处、法制处、经济处、政治处、文化处、科教处、综合处、郊区处、社会处、战略处和机关党委。其主要职责是：</w:t>
      </w: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围绕全市工作大局和市委的工作部署，按照市委的指示和确定的重点课题，开展调查研究，提供决策意见和建议；</w:t>
      </w: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组织撰写市委的重要文件、文稿；</w:t>
      </w: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收集和提供具有重要参考价值的政治、经济和社会发展等方面的信息；</w:t>
      </w:r>
      <w:r>
        <w:rPr>
          <w:rFonts w:ascii="仿宋_GB2312" w:eastAsia="仿宋_GB2312" w:hAnsi="仿宋_GB2312" w:cs="仿宋_GB2312"/>
          <w:color w:val="000000"/>
          <w:kern w:val="0"/>
          <w:sz w:val="28"/>
          <w:szCs w:val="28"/>
        </w:rPr>
        <w:t>4.</w:t>
      </w:r>
      <w:r>
        <w:rPr>
          <w:rFonts w:ascii="仿宋_GB2312" w:eastAsia="仿宋_GB2312" w:hAnsi="仿宋_GB2312" w:cs="仿宋_GB2312" w:hint="eastAsia"/>
          <w:color w:val="000000"/>
          <w:kern w:val="0"/>
          <w:sz w:val="28"/>
          <w:szCs w:val="28"/>
        </w:rPr>
        <w:t>组织协调全市调查研究工作；</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完成市委交办的其他任务。根据中共北京市委办公厅《关于调整市委研究室职能配置、内设机构和人员编制的通知》（京办字</w:t>
      </w:r>
      <w:r>
        <w:rPr>
          <w:rFonts w:ascii="仿宋_GB2312" w:eastAsia="仿宋_GB2312" w:hAnsi="仿宋_GB2312" w:cs="仿宋_GB2312"/>
          <w:color w:val="000000"/>
          <w:kern w:val="0"/>
          <w:sz w:val="28"/>
          <w:szCs w:val="28"/>
        </w:rPr>
        <w:t>[2019]34</w:t>
      </w:r>
      <w:r>
        <w:rPr>
          <w:rFonts w:ascii="仿宋_GB2312" w:eastAsia="仿宋_GB2312" w:hAnsi="仿宋_GB2312" w:cs="仿宋_GB2312" w:hint="eastAsia"/>
          <w:color w:val="000000"/>
          <w:kern w:val="0"/>
          <w:sz w:val="28"/>
          <w:szCs w:val="28"/>
        </w:rPr>
        <w:t>号），市委全面深化改革委员会办公室（简称市委改革办）设在市委研究室，负责处理市委全面深化改革委员会日常工作，主要职责是：</w:t>
      </w: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组织开展本市全面深化改革重大问题的政策研究；</w:t>
      </w: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统筹协调有关方面提出的改革工作方案和措施；</w:t>
      </w: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协调</w:t>
      </w:r>
      <w:r>
        <w:rPr>
          <w:rFonts w:ascii="仿宋_GB2312" w:eastAsia="仿宋_GB2312" w:hAnsi="仿宋_GB2312" w:cs="仿宋_GB2312" w:hint="eastAsia"/>
          <w:color w:val="000000"/>
          <w:kern w:val="0"/>
          <w:sz w:val="28"/>
          <w:szCs w:val="28"/>
        </w:rPr>
        <w:lastRenderedPageBreak/>
        <w:t>督促有关方面落实市委深改委的决定事项、工作部署和要求；</w:t>
      </w:r>
      <w:r>
        <w:rPr>
          <w:rFonts w:ascii="仿宋_GB2312" w:eastAsia="仿宋_GB2312" w:hAnsi="仿宋_GB2312" w:cs="仿宋_GB2312"/>
          <w:color w:val="000000"/>
          <w:kern w:val="0"/>
          <w:sz w:val="28"/>
          <w:szCs w:val="28"/>
        </w:rPr>
        <w:t>4.</w:t>
      </w:r>
      <w:r>
        <w:rPr>
          <w:rFonts w:ascii="仿宋_GB2312" w:eastAsia="仿宋_GB2312" w:hAnsi="仿宋_GB2312" w:cs="仿宋_GB2312" w:hint="eastAsia"/>
          <w:color w:val="000000"/>
          <w:kern w:val="0"/>
          <w:sz w:val="28"/>
          <w:szCs w:val="28"/>
        </w:rPr>
        <w:t>收集汇总有关改革问题的信息资料；</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联系有关研究机构和专家学者就改革重要问题进行研究和咨询；</w:t>
      </w:r>
      <w:r>
        <w:rPr>
          <w:rFonts w:ascii="仿宋_GB2312" w:eastAsia="仿宋_GB2312" w:hAnsi="仿宋_GB2312" w:cs="仿宋_GB2312"/>
          <w:color w:val="000000"/>
          <w:kern w:val="0"/>
          <w:sz w:val="28"/>
          <w:szCs w:val="28"/>
        </w:rPr>
        <w:t>6.</w:t>
      </w:r>
      <w:r>
        <w:rPr>
          <w:rFonts w:ascii="仿宋_GB2312" w:eastAsia="仿宋_GB2312" w:hAnsi="仿宋_GB2312" w:cs="仿宋_GB2312" w:hint="eastAsia"/>
          <w:color w:val="000000"/>
          <w:kern w:val="0"/>
          <w:sz w:val="28"/>
          <w:szCs w:val="28"/>
        </w:rPr>
        <w:t>负责市委深改委的会议组织、日常联络、简报编印等工作。</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根据《北京市机构编制委员会办公室关于同意调整首都社会经济发展研究所内设机构及领导职</w:t>
      </w:r>
      <w:r>
        <w:rPr>
          <w:rFonts w:ascii="仿宋_GB2312" w:eastAsia="仿宋_GB2312" w:hAnsi="仿宋_GB2312" w:cs="仿宋_GB2312" w:hint="eastAsia"/>
          <w:color w:val="000000"/>
          <w:kern w:val="0"/>
          <w:sz w:val="28"/>
          <w:szCs w:val="28"/>
        </w:rPr>
        <w:t>数的函》（京编办事【</w:t>
      </w:r>
      <w:r>
        <w:rPr>
          <w:rFonts w:ascii="仿宋_GB2312" w:eastAsia="仿宋_GB2312" w:hAnsi="仿宋_GB2312" w:cs="仿宋_GB2312"/>
          <w:color w:val="000000"/>
          <w:kern w:val="0"/>
          <w:sz w:val="28"/>
          <w:szCs w:val="28"/>
        </w:rPr>
        <w:t>2017</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107</w:t>
      </w:r>
      <w:r>
        <w:rPr>
          <w:rFonts w:ascii="仿宋_GB2312" w:eastAsia="仿宋_GB2312" w:hAnsi="仿宋_GB2312" w:cs="仿宋_GB2312" w:hint="eastAsia"/>
          <w:color w:val="000000"/>
          <w:kern w:val="0"/>
          <w:sz w:val="28"/>
          <w:szCs w:val="28"/>
        </w:rPr>
        <w:t>号）首都社会经济发展研究所为中共北京市委研究室下属副局级规范管理的事业单位，内设</w:t>
      </w: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个处室，分别为：社会处、经济处、办公室。主要职责为：</w:t>
      </w: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围绕市委、市政府重大决策和首都经济社会发展中重点、热点、难点问题，组织决策研究领域有造诣的专家学者和实际工作者进行中长期战略研究，为市委、市政府领导科学决策提供服务；</w:t>
      </w: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承担市委、市政府及相关部门的决策研究课题，开展调查研究、咨询论证等工作；</w:t>
      </w: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围绕决策科学化的理论与实践开展研究，围绕市委、市政府重大决策问题开展国际间学术交流；</w:t>
      </w:r>
      <w:r>
        <w:rPr>
          <w:rFonts w:ascii="仿宋_GB2312" w:eastAsia="仿宋_GB2312" w:hAnsi="仿宋_GB2312" w:cs="仿宋_GB2312"/>
          <w:color w:val="000000"/>
          <w:kern w:val="0"/>
          <w:sz w:val="28"/>
          <w:szCs w:val="28"/>
        </w:rPr>
        <w:t>4.</w:t>
      </w:r>
      <w:r>
        <w:rPr>
          <w:rFonts w:ascii="仿宋_GB2312" w:eastAsia="仿宋_GB2312" w:hAnsi="仿宋_GB2312" w:cs="仿宋_GB2312" w:hint="eastAsia"/>
          <w:color w:val="000000"/>
          <w:kern w:val="0"/>
          <w:sz w:val="28"/>
          <w:szCs w:val="28"/>
        </w:rPr>
        <w:t>承担</w:t>
      </w:r>
      <w:r>
        <w:rPr>
          <w:rFonts w:ascii="仿宋_GB2312" w:eastAsia="仿宋_GB2312" w:hAnsi="仿宋_GB2312" w:cs="仿宋_GB2312" w:hint="eastAsia"/>
          <w:color w:val="000000"/>
          <w:kern w:val="0"/>
          <w:sz w:val="28"/>
          <w:szCs w:val="28"/>
        </w:rPr>
        <w:t>《北京调研》和《决策参考》等刊物的编辑工作；</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承办市委研究室交办的其他工作。</w:t>
      </w:r>
    </w:p>
    <w:p w:rsidR="00B04216" w:rsidRDefault="00A8438D">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部门整体绩效目标设立情况（包括绩效目标设立依据、目标与职责任务匹配情况、目标合理性等）。</w:t>
      </w:r>
    </w:p>
    <w:p w:rsidR="00B04216" w:rsidRDefault="00A8438D">
      <w:pPr>
        <w:spacing w:line="360" w:lineRule="auto"/>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年度，我室结合实际工作内容，按照预算管理系统中部门绩效目标格式填报了部门整体绩效目标表，设定了部门总体绩效目标和绩效指标。</w:t>
      </w:r>
    </w:p>
    <w:p w:rsidR="00B04216" w:rsidRDefault="00A8438D">
      <w:pPr>
        <w:pStyle w:val="a0"/>
        <w:ind w:firstLine="560"/>
        <w:rPr>
          <w:rFonts w:ascii="仿宋_GB2312" w:eastAsia="仿宋_GB2312" w:hAnsi="仿宋_GB2312" w:cs="仿宋_GB2312"/>
          <w:sz w:val="28"/>
          <w:szCs w:val="28"/>
        </w:rPr>
      </w:pPr>
      <w:r>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hint="eastAsia"/>
          <w:color w:val="000000"/>
          <w:kern w:val="0"/>
          <w:sz w:val="28"/>
          <w:szCs w:val="28"/>
        </w:rPr>
        <w:t>）调查研究方面：首先继续做好市委重点课题，并进一步加强重大问题的持续深入研究，推出更多高质量调研成果。同时，</w:t>
      </w:r>
      <w:r>
        <w:rPr>
          <w:rFonts w:ascii="仿宋_GB2312" w:eastAsia="仿宋_GB2312" w:hAnsi="仿宋_GB2312" w:cs="仿宋_GB2312" w:hint="eastAsia"/>
          <w:sz w:val="28"/>
          <w:szCs w:val="28"/>
        </w:rPr>
        <w:t>开展好两年一次的全市调查研究先进单位和优秀调研成果评比表彰，促进全市各单位大兴调查研</w:t>
      </w:r>
      <w:r>
        <w:rPr>
          <w:rFonts w:ascii="仿宋_GB2312" w:eastAsia="仿宋_GB2312" w:hAnsi="仿宋_GB2312" w:cs="仿宋_GB2312" w:hint="eastAsia"/>
          <w:sz w:val="28"/>
          <w:szCs w:val="28"/>
        </w:rPr>
        <w:lastRenderedPageBreak/>
        <w:t>究之风。</w:t>
      </w: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年度计划</w:t>
      </w:r>
      <w:r>
        <w:rPr>
          <w:rFonts w:ascii="仿宋_GB2312" w:eastAsia="仿宋_GB2312" w:hAnsi="仿宋_GB2312" w:cs="仿宋_GB2312" w:hint="eastAsia"/>
          <w:sz w:val="28"/>
          <w:szCs w:val="28"/>
        </w:rPr>
        <w:t>召开</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次全市调查研究工作协调联席会议，研究审议</w:t>
      </w:r>
      <w:r>
        <w:rPr>
          <w:rFonts w:ascii="仿宋_GB2312" w:eastAsia="仿宋_GB2312" w:hAnsi="仿宋_GB2312" w:cs="仿宋_GB2312" w:hint="eastAsia"/>
          <w:sz w:val="28"/>
          <w:szCs w:val="28"/>
        </w:rPr>
        <w:t>2022</w:t>
      </w:r>
      <w:r>
        <w:rPr>
          <w:rFonts w:ascii="仿宋_GB2312" w:eastAsia="仿宋_GB2312" w:hAnsi="仿宋_GB2312" w:cs="仿宋_GB2312" w:hint="eastAsia"/>
          <w:sz w:val="28"/>
          <w:szCs w:val="28"/>
        </w:rPr>
        <w:t>年市区两级重点调研课题；举办</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次全市决策研究系统干部专题培训班，开展全市调研先进单位和优秀调研成果评比表彰。汇总编辑全市优秀调研课题集、市委重要文稿汇编等；深入开展全市调查研究工作，编辑《北京调研》不低于</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期，起草《决策参考》不低于</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期；认真履行服务市委科学决策的职责，为起草好市委重要文件、文稿，积极主动开展调研，全年调研次数不少于</w:t>
      </w:r>
      <w:r>
        <w:rPr>
          <w:rFonts w:ascii="仿宋_GB2312" w:eastAsia="仿宋_GB2312" w:hAnsi="仿宋_GB2312" w:cs="仿宋_GB2312" w:hint="eastAsia"/>
          <w:sz w:val="28"/>
          <w:szCs w:val="28"/>
        </w:rPr>
        <w:t>150</w:t>
      </w:r>
      <w:r>
        <w:rPr>
          <w:rFonts w:ascii="仿宋_GB2312" w:eastAsia="仿宋_GB2312" w:hAnsi="仿宋_GB2312" w:cs="仿宋_GB2312" w:hint="eastAsia"/>
          <w:sz w:val="28"/>
          <w:szCs w:val="28"/>
        </w:rPr>
        <w:t>批次，起草市委重要文件、文稿不低于</w:t>
      </w:r>
      <w:r>
        <w:rPr>
          <w:rFonts w:ascii="仿宋_GB2312" w:eastAsia="仿宋_GB2312" w:hAnsi="仿宋_GB2312" w:cs="仿宋_GB2312" w:hint="eastAsia"/>
          <w:sz w:val="28"/>
          <w:szCs w:val="28"/>
        </w:rPr>
        <w:t>400</w:t>
      </w:r>
      <w:r>
        <w:rPr>
          <w:rFonts w:ascii="仿宋_GB2312" w:eastAsia="仿宋_GB2312" w:hAnsi="仿宋_GB2312" w:cs="仿宋_GB2312" w:hint="eastAsia"/>
          <w:sz w:val="28"/>
          <w:szCs w:val="28"/>
        </w:rPr>
        <w:t>篇。</w:t>
      </w:r>
    </w:p>
    <w:p w:rsidR="00B04216" w:rsidRDefault="00A8438D">
      <w:pPr>
        <w:spacing w:line="360" w:lineRule="auto"/>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hint="eastAsia"/>
          <w:color w:val="000000"/>
          <w:kern w:val="0"/>
          <w:sz w:val="28"/>
          <w:szCs w:val="28"/>
        </w:rPr>
        <w:t>深化改革方面：扎实做好服务深改委的各项工作，继</w:t>
      </w:r>
      <w:r>
        <w:rPr>
          <w:rFonts w:ascii="仿宋_GB2312" w:eastAsia="仿宋_GB2312" w:hAnsi="仿宋_GB2312" w:cs="仿宋_GB2312" w:hint="eastAsia"/>
          <w:color w:val="000000"/>
          <w:kern w:val="0"/>
          <w:sz w:val="28"/>
          <w:szCs w:val="28"/>
        </w:rPr>
        <w:t>续抓好改革督察落实，既要确保落实中央部署的各项改革举措不打折、不走样，又要结合实际、深思善谋、大胆创新，坚持推进具有北京特点的改革。</w:t>
      </w: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年度计划筹办</w:t>
      </w:r>
      <w:r>
        <w:rPr>
          <w:rFonts w:ascii="仿宋_GB2312" w:eastAsia="仿宋_GB2312" w:hAnsi="仿宋_GB2312" w:cs="仿宋_GB2312" w:hint="eastAsia"/>
          <w:color w:val="000000"/>
          <w:kern w:val="0"/>
          <w:sz w:val="28"/>
          <w:szCs w:val="28"/>
        </w:rPr>
        <w:t>6</w:t>
      </w:r>
      <w:r>
        <w:rPr>
          <w:rFonts w:ascii="仿宋_GB2312" w:eastAsia="仿宋_GB2312" w:hAnsi="仿宋_GB2312" w:cs="仿宋_GB2312" w:hint="eastAsia"/>
          <w:color w:val="000000"/>
          <w:kern w:val="0"/>
          <w:sz w:val="28"/>
          <w:szCs w:val="28"/>
        </w:rPr>
        <w:t>次市委深化改革委员会会议，审议议题</w:t>
      </w:r>
      <w:r>
        <w:rPr>
          <w:rFonts w:ascii="仿宋_GB2312" w:eastAsia="仿宋_GB2312" w:hAnsi="仿宋_GB2312" w:cs="仿宋_GB2312" w:hint="eastAsia"/>
          <w:color w:val="000000"/>
          <w:kern w:val="0"/>
          <w:sz w:val="28"/>
          <w:szCs w:val="28"/>
        </w:rPr>
        <w:t>50</w:t>
      </w:r>
      <w:r>
        <w:rPr>
          <w:rFonts w:ascii="仿宋_GB2312" w:eastAsia="仿宋_GB2312" w:hAnsi="仿宋_GB2312" w:cs="仿宋_GB2312" w:hint="eastAsia"/>
          <w:color w:val="000000"/>
          <w:kern w:val="0"/>
          <w:sz w:val="28"/>
          <w:szCs w:val="28"/>
        </w:rPr>
        <w:t>个，筹办全市改革专项小组会、专项小组办公室主任暨区委改革办主任会等</w:t>
      </w:r>
      <w:r>
        <w:rPr>
          <w:rFonts w:ascii="仿宋_GB2312" w:eastAsia="仿宋_GB2312" w:hAnsi="仿宋_GB2312" w:cs="仿宋_GB2312" w:hint="eastAsia"/>
          <w:color w:val="000000"/>
          <w:kern w:val="0"/>
          <w:sz w:val="28"/>
          <w:szCs w:val="28"/>
        </w:rPr>
        <w:t>6</w:t>
      </w:r>
      <w:r>
        <w:rPr>
          <w:rFonts w:ascii="仿宋_GB2312" w:eastAsia="仿宋_GB2312" w:hAnsi="仿宋_GB2312" w:cs="仿宋_GB2312" w:hint="eastAsia"/>
          <w:color w:val="000000"/>
          <w:kern w:val="0"/>
          <w:sz w:val="28"/>
          <w:szCs w:val="28"/>
        </w:rPr>
        <w:t>次；开展全市改革重点领域专项督察，完成</w:t>
      </w:r>
      <w:r>
        <w:rPr>
          <w:rFonts w:ascii="仿宋_GB2312" w:eastAsia="仿宋_GB2312" w:hAnsi="仿宋_GB2312" w:cs="仿宋_GB2312" w:hint="eastAsia"/>
          <w:color w:val="000000"/>
          <w:kern w:val="0"/>
          <w:sz w:val="28"/>
          <w:szCs w:val="28"/>
        </w:rPr>
        <w:t>6</w:t>
      </w:r>
      <w:r>
        <w:rPr>
          <w:rFonts w:ascii="仿宋_GB2312" w:eastAsia="仿宋_GB2312" w:hAnsi="仿宋_GB2312" w:cs="仿宋_GB2312" w:hint="eastAsia"/>
          <w:color w:val="000000"/>
          <w:kern w:val="0"/>
          <w:sz w:val="28"/>
          <w:szCs w:val="28"/>
        </w:rPr>
        <w:t>个改革督察第三方评估任务；编辑刊发《改革督察情况》《改革调研报告》《改革情况交流》等刊物不少于</w:t>
      </w:r>
      <w:r>
        <w:rPr>
          <w:rFonts w:ascii="仿宋_GB2312" w:eastAsia="仿宋_GB2312" w:hAnsi="仿宋_GB2312" w:cs="仿宋_GB2312" w:hint="eastAsia"/>
          <w:color w:val="000000"/>
          <w:kern w:val="0"/>
          <w:sz w:val="28"/>
          <w:szCs w:val="28"/>
        </w:rPr>
        <w:t>70</w:t>
      </w:r>
      <w:r>
        <w:rPr>
          <w:rFonts w:ascii="仿宋_GB2312" w:eastAsia="仿宋_GB2312" w:hAnsi="仿宋_GB2312" w:cs="仿宋_GB2312" w:hint="eastAsia"/>
          <w:color w:val="000000"/>
          <w:kern w:val="0"/>
          <w:sz w:val="28"/>
          <w:szCs w:val="28"/>
        </w:rPr>
        <w:t>期。组织各领域专家开展改革问题咨询会议不少于</w:t>
      </w:r>
      <w:r>
        <w:rPr>
          <w:rFonts w:ascii="仿宋_GB2312" w:eastAsia="仿宋_GB2312" w:hAnsi="仿宋_GB2312" w:cs="仿宋_GB2312" w:hint="eastAsia"/>
          <w:color w:val="000000"/>
          <w:kern w:val="0"/>
          <w:sz w:val="28"/>
          <w:szCs w:val="28"/>
        </w:rPr>
        <w:t>20</w:t>
      </w:r>
      <w:r>
        <w:rPr>
          <w:rFonts w:ascii="仿宋_GB2312" w:eastAsia="仿宋_GB2312" w:hAnsi="仿宋_GB2312" w:cs="仿宋_GB2312" w:hint="eastAsia"/>
          <w:color w:val="000000"/>
          <w:kern w:val="0"/>
          <w:sz w:val="28"/>
          <w:szCs w:val="28"/>
        </w:rPr>
        <w:t>批次。</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（二）当年预算执行情况</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年全年预算数</w:t>
      </w:r>
      <w:r>
        <w:rPr>
          <w:rFonts w:ascii="仿宋_GB2312" w:eastAsia="仿宋_GB2312" w:hAnsi="仿宋_GB2312" w:cs="仿宋_GB2312" w:hint="eastAsia"/>
          <w:color w:val="000000"/>
          <w:kern w:val="0"/>
          <w:sz w:val="28"/>
          <w:szCs w:val="28"/>
        </w:rPr>
        <w:t>4628.08</w:t>
      </w:r>
      <w:r>
        <w:rPr>
          <w:rFonts w:ascii="仿宋_GB2312" w:eastAsia="仿宋_GB2312" w:hAnsi="仿宋_GB2312" w:cs="仿宋_GB2312" w:hint="eastAsia"/>
          <w:color w:val="000000"/>
          <w:kern w:val="0"/>
          <w:sz w:val="28"/>
          <w:szCs w:val="28"/>
        </w:rPr>
        <w:t>万元，</w:t>
      </w:r>
      <w:r>
        <w:rPr>
          <w:rFonts w:ascii="仿宋_GB2312" w:eastAsia="仿宋_GB2312" w:hAnsi="仿宋_GB2312" w:cs="仿宋_GB2312" w:hint="eastAsia"/>
          <w:color w:val="000000"/>
          <w:kern w:val="0"/>
          <w:sz w:val="28"/>
          <w:szCs w:val="28"/>
        </w:rPr>
        <w:t>全年支出数</w:t>
      </w:r>
      <w:r>
        <w:rPr>
          <w:rFonts w:ascii="仿宋_GB2312" w:eastAsia="仿宋_GB2312" w:hAnsi="仿宋_GB2312" w:cs="仿宋_GB2312" w:hint="eastAsia"/>
          <w:color w:val="000000"/>
          <w:kern w:val="0"/>
          <w:sz w:val="28"/>
          <w:szCs w:val="28"/>
        </w:rPr>
        <w:t>4459.42</w:t>
      </w:r>
      <w:r>
        <w:rPr>
          <w:rFonts w:ascii="仿宋_GB2312" w:eastAsia="仿宋_GB2312" w:hAnsi="仿宋_GB2312" w:cs="仿宋_GB2312" w:hint="eastAsia"/>
          <w:color w:val="000000"/>
          <w:kern w:val="0"/>
          <w:sz w:val="28"/>
          <w:szCs w:val="28"/>
        </w:rPr>
        <w:t>万元，执行率为</w:t>
      </w:r>
      <w:r>
        <w:rPr>
          <w:rFonts w:ascii="仿宋_GB2312" w:eastAsia="仿宋_GB2312" w:hAnsi="仿宋_GB2312" w:cs="仿宋_GB2312" w:hint="eastAsia"/>
          <w:color w:val="000000"/>
          <w:kern w:val="0"/>
          <w:sz w:val="28"/>
          <w:szCs w:val="28"/>
        </w:rPr>
        <w:t>96.36%</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其中，基本支出预算数</w:t>
      </w:r>
      <w:r>
        <w:rPr>
          <w:rFonts w:ascii="仿宋_GB2312" w:eastAsia="仿宋_GB2312" w:hAnsi="仿宋_GB2312" w:cs="仿宋_GB2312" w:hint="eastAsia"/>
          <w:color w:val="000000"/>
          <w:kern w:val="0"/>
          <w:sz w:val="28"/>
          <w:szCs w:val="28"/>
        </w:rPr>
        <w:lastRenderedPageBreak/>
        <w:t>3905.26</w:t>
      </w:r>
      <w:r>
        <w:rPr>
          <w:rFonts w:ascii="仿宋_GB2312" w:eastAsia="仿宋_GB2312" w:hAnsi="仿宋_GB2312" w:cs="仿宋_GB2312" w:hint="eastAsia"/>
          <w:color w:val="000000"/>
          <w:kern w:val="0"/>
          <w:sz w:val="28"/>
          <w:szCs w:val="28"/>
        </w:rPr>
        <w:t>万元，</w:t>
      </w:r>
      <w:r>
        <w:rPr>
          <w:rFonts w:ascii="仿宋_GB2312" w:eastAsia="仿宋_GB2312" w:hAnsi="仿宋_GB2312" w:cs="仿宋_GB2312" w:hint="eastAsia"/>
          <w:color w:val="000000"/>
          <w:kern w:val="0"/>
          <w:sz w:val="28"/>
          <w:szCs w:val="28"/>
        </w:rPr>
        <w:t>执行率为</w:t>
      </w:r>
      <w:r>
        <w:rPr>
          <w:rFonts w:ascii="仿宋_GB2312" w:eastAsia="仿宋_GB2312" w:hAnsi="仿宋_GB2312" w:cs="仿宋_GB2312" w:hint="eastAsia"/>
          <w:color w:val="000000"/>
          <w:kern w:val="0"/>
          <w:sz w:val="28"/>
          <w:szCs w:val="28"/>
        </w:rPr>
        <w:t>97.36%</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项目支出预算数</w:t>
      </w:r>
      <w:r>
        <w:rPr>
          <w:rFonts w:ascii="仿宋_GB2312" w:eastAsia="仿宋_GB2312" w:hAnsi="仿宋_GB2312" w:cs="仿宋_GB2312" w:hint="eastAsia"/>
          <w:color w:val="000000"/>
          <w:kern w:val="0"/>
          <w:sz w:val="28"/>
          <w:szCs w:val="28"/>
        </w:rPr>
        <w:t>554.15</w:t>
      </w:r>
      <w:r>
        <w:rPr>
          <w:rFonts w:ascii="仿宋_GB2312" w:eastAsia="仿宋_GB2312" w:hAnsi="仿宋_GB2312" w:cs="仿宋_GB2312" w:hint="eastAsia"/>
          <w:color w:val="000000"/>
          <w:kern w:val="0"/>
          <w:sz w:val="28"/>
          <w:szCs w:val="28"/>
        </w:rPr>
        <w:t>万元，</w:t>
      </w:r>
      <w:r>
        <w:rPr>
          <w:rFonts w:ascii="仿宋_GB2312" w:eastAsia="仿宋_GB2312" w:hAnsi="仿宋_GB2312" w:cs="仿宋_GB2312" w:hint="eastAsia"/>
          <w:color w:val="000000"/>
          <w:kern w:val="0"/>
          <w:sz w:val="28"/>
          <w:szCs w:val="28"/>
        </w:rPr>
        <w:t>执行率为</w:t>
      </w:r>
      <w:r>
        <w:rPr>
          <w:rFonts w:ascii="仿宋_GB2312" w:eastAsia="仿宋_GB2312" w:hAnsi="仿宋_GB2312" w:cs="仿宋_GB2312" w:hint="eastAsia"/>
          <w:color w:val="000000"/>
          <w:kern w:val="0"/>
          <w:sz w:val="28"/>
          <w:szCs w:val="28"/>
        </w:rPr>
        <w:t>89.85%</w:t>
      </w:r>
      <w:r>
        <w:rPr>
          <w:rFonts w:ascii="仿宋_GB2312" w:eastAsia="仿宋_GB2312" w:hAnsi="仿宋_GB2312" w:cs="仿宋_GB2312" w:hint="eastAsia"/>
          <w:color w:val="000000"/>
          <w:kern w:val="0"/>
          <w:sz w:val="28"/>
          <w:szCs w:val="28"/>
        </w:rPr>
        <w:t>。</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（三）整体绩效目标实现情况</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年是中国共产党成立</w:t>
      </w:r>
      <w:r>
        <w:rPr>
          <w:rFonts w:ascii="仿宋_GB2312" w:eastAsia="仿宋_GB2312" w:hAnsi="仿宋_GB2312" w:cs="仿宋_GB2312" w:hint="eastAsia"/>
          <w:color w:val="000000"/>
          <w:kern w:val="0"/>
          <w:sz w:val="28"/>
          <w:szCs w:val="28"/>
        </w:rPr>
        <w:t>100</w:t>
      </w:r>
      <w:r>
        <w:rPr>
          <w:rFonts w:ascii="仿宋_GB2312" w:eastAsia="仿宋_GB2312" w:hAnsi="仿宋_GB2312" w:cs="仿宋_GB2312" w:hint="eastAsia"/>
          <w:color w:val="000000"/>
          <w:kern w:val="0"/>
          <w:sz w:val="28"/>
          <w:szCs w:val="28"/>
        </w:rPr>
        <w:t>周年，是“十四五”开局、全面建设社会主义现代化国家新征程开启之年。在市委坚强领导下，市委研究室坚持以习近平新时代中国特色社会主义思想为指导，全面贯彻党的十九大和十九届历次全会精神，深入贯彻习近平总书记对北京一系列重要讲话精神，聚焦“一个开局、两件大事、三项任务”，认真履行服务</w:t>
      </w:r>
      <w:r>
        <w:rPr>
          <w:rFonts w:ascii="仿宋_GB2312" w:eastAsia="仿宋_GB2312" w:hAnsi="仿宋_GB2312" w:cs="仿宋_GB2312" w:hint="eastAsia"/>
          <w:color w:val="000000"/>
          <w:kern w:val="0"/>
          <w:sz w:val="28"/>
          <w:szCs w:val="28"/>
        </w:rPr>
        <w:t>市委科学决策工作职责，全力以赴完成市委交办的各项任务，保证了研究室整体高质量发展的目标，整体绩效目标实现较好。</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w:t>
      </w:r>
      <w:r>
        <w:rPr>
          <w:rFonts w:ascii="仿宋_GB2312" w:eastAsia="仿宋_GB2312" w:hAnsi="仿宋_GB2312" w:cs="仿宋_GB2312" w:hint="eastAsia"/>
          <w:color w:val="000000"/>
          <w:kern w:val="0"/>
          <w:sz w:val="28"/>
          <w:szCs w:val="28"/>
        </w:rPr>
        <w:t>产出完成情况及效果实现情况分析</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hint="eastAsia"/>
          <w:color w:val="000000"/>
          <w:kern w:val="0"/>
          <w:sz w:val="28"/>
          <w:szCs w:val="28"/>
        </w:rPr>
        <w:t>）调查研究开展情况</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承担市委年度重点课题。围绕市委主要领导亲自拟定的《北京市率先扩大中等收入群体、推进共同富裕研究》重点课题，抽调各处业务骨干组建工作专班，会同</w:t>
      </w:r>
      <w:r>
        <w:rPr>
          <w:rFonts w:ascii="仿宋_GB2312" w:eastAsia="仿宋_GB2312" w:hAnsi="仿宋_GB2312" w:cs="仿宋_GB2312" w:hint="eastAsia"/>
          <w:color w:val="000000"/>
          <w:kern w:val="0"/>
          <w:sz w:val="28"/>
          <w:szCs w:val="28"/>
        </w:rPr>
        <w:t>11</w:t>
      </w:r>
      <w:r>
        <w:rPr>
          <w:rFonts w:ascii="仿宋_GB2312" w:eastAsia="仿宋_GB2312" w:hAnsi="仿宋_GB2312" w:cs="仿宋_GB2312" w:hint="eastAsia"/>
          <w:color w:val="000000"/>
          <w:kern w:val="0"/>
          <w:sz w:val="28"/>
          <w:szCs w:val="28"/>
        </w:rPr>
        <w:t>个专业部门和第三方机构共同开展课题研究，形成总报告、综合研究报告及</w:t>
      </w:r>
      <w:r>
        <w:rPr>
          <w:rFonts w:ascii="仿宋_GB2312" w:eastAsia="仿宋_GB2312" w:hAnsi="仿宋_GB2312" w:cs="仿宋_GB2312" w:hint="eastAsia"/>
          <w:color w:val="000000"/>
          <w:kern w:val="0"/>
          <w:sz w:val="28"/>
          <w:szCs w:val="28"/>
        </w:rPr>
        <w:t>13</w:t>
      </w:r>
      <w:r>
        <w:rPr>
          <w:rFonts w:ascii="仿宋_GB2312" w:eastAsia="仿宋_GB2312" w:hAnsi="仿宋_GB2312" w:cs="仿宋_GB2312" w:hint="eastAsia"/>
          <w:color w:val="000000"/>
          <w:kern w:val="0"/>
          <w:sz w:val="28"/>
          <w:szCs w:val="28"/>
        </w:rPr>
        <w:t>个专题研究报告，共</w:t>
      </w:r>
      <w:r>
        <w:rPr>
          <w:rFonts w:ascii="仿宋_GB2312" w:eastAsia="仿宋_GB2312" w:hAnsi="仿宋_GB2312" w:cs="仿宋_GB2312" w:hint="eastAsia"/>
          <w:color w:val="000000"/>
          <w:kern w:val="0"/>
          <w:sz w:val="28"/>
          <w:szCs w:val="28"/>
        </w:rPr>
        <w:t>40</w:t>
      </w:r>
      <w:r>
        <w:rPr>
          <w:rFonts w:ascii="仿宋_GB2312" w:eastAsia="仿宋_GB2312" w:hAnsi="仿宋_GB2312" w:cs="仿宋_GB2312" w:hint="eastAsia"/>
          <w:color w:val="000000"/>
          <w:kern w:val="0"/>
          <w:sz w:val="28"/>
          <w:szCs w:val="28"/>
        </w:rPr>
        <w:t>余万字。</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加强前瞻性、战略性、全局性问题研究。针对经济形势、人口问题、碳达峰碳中和、中美关系等关系党和国</w:t>
      </w:r>
      <w:r>
        <w:rPr>
          <w:rFonts w:ascii="仿宋_GB2312" w:eastAsia="仿宋_GB2312" w:hAnsi="仿宋_GB2312" w:cs="仿宋_GB2312" w:hint="eastAsia"/>
          <w:color w:val="000000"/>
          <w:kern w:val="0"/>
          <w:sz w:val="28"/>
          <w:szCs w:val="28"/>
        </w:rPr>
        <w:t>家工作大局的重大问题，完成“国之大者”学习研究参阅材料</w:t>
      </w:r>
      <w:r>
        <w:rPr>
          <w:rFonts w:ascii="仿宋_GB2312" w:eastAsia="仿宋_GB2312" w:hAnsi="仿宋_GB2312" w:cs="仿宋_GB2312" w:hint="eastAsia"/>
          <w:color w:val="000000"/>
          <w:kern w:val="0"/>
          <w:sz w:val="28"/>
          <w:szCs w:val="28"/>
        </w:rPr>
        <w:t>21</w:t>
      </w:r>
      <w:r>
        <w:rPr>
          <w:rFonts w:ascii="仿宋_GB2312" w:eastAsia="仿宋_GB2312" w:hAnsi="仿宋_GB2312" w:cs="仿宋_GB2312" w:hint="eastAsia"/>
          <w:color w:val="000000"/>
          <w:kern w:val="0"/>
          <w:sz w:val="28"/>
          <w:szCs w:val="28"/>
        </w:rPr>
        <w:t>期，获市委主要领导批示</w:t>
      </w:r>
      <w:r>
        <w:rPr>
          <w:rFonts w:ascii="仿宋_GB2312" w:eastAsia="仿宋_GB2312" w:hAnsi="仿宋_GB2312" w:cs="仿宋_GB2312" w:hint="eastAsia"/>
          <w:color w:val="000000"/>
          <w:kern w:val="0"/>
          <w:sz w:val="28"/>
          <w:szCs w:val="28"/>
        </w:rPr>
        <w:t>5</w:t>
      </w:r>
      <w:r>
        <w:rPr>
          <w:rFonts w:ascii="仿宋_GB2312" w:eastAsia="仿宋_GB2312" w:hAnsi="仿宋_GB2312" w:cs="仿宋_GB2312" w:hint="eastAsia"/>
          <w:color w:val="000000"/>
          <w:kern w:val="0"/>
          <w:sz w:val="28"/>
          <w:szCs w:val="28"/>
        </w:rPr>
        <w:t>期。</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着力拓展调查研究高度广度深度。坚持将调查研究作为研究室工作的基本功，围绕全市工作重点领域和热点问题开展调研，形成一批调研成果，多篇获市委主要领导批示并转化为市委工作决策。全年编发《决策参考》</w:t>
      </w:r>
      <w:r>
        <w:rPr>
          <w:rFonts w:ascii="仿宋_GB2312" w:eastAsia="仿宋_GB2312" w:hAnsi="仿宋_GB2312" w:cs="仿宋_GB2312" w:hint="eastAsia"/>
          <w:color w:val="000000"/>
          <w:kern w:val="0"/>
          <w:sz w:val="28"/>
          <w:szCs w:val="28"/>
        </w:rPr>
        <w:t>35</w:t>
      </w:r>
      <w:r>
        <w:rPr>
          <w:rFonts w:ascii="仿宋_GB2312" w:eastAsia="仿宋_GB2312" w:hAnsi="仿宋_GB2312" w:cs="仿宋_GB2312" w:hint="eastAsia"/>
          <w:color w:val="000000"/>
          <w:kern w:val="0"/>
          <w:sz w:val="28"/>
          <w:szCs w:val="28"/>
        </w:rPr>
        <w:t>期，市级领导批示率</w:t>
      </w:r>
      <w:r>
        <w:rPr>
          <w:rFonts w:ascii="仿宋_GB2312" w:eastAsia="仿宋_GB2312" w:hAnsi="仿宋_GB2312" w:cs="仿宋_GB2312" w:hint="eastAsia"/>
          <w:color w:val="000000"/>
          <w:kern w:val="0"/>
          <w:sz w:val="28"/>
          <w:szCs w:val="28"/>
        </w:rPr>
        <w:t>71%</w:t>
      </w:r>
      <w:r>
        <w:rPr>
          <w:rFonts w:ascii="仿宋_GB2312" w:eastAsia="仿宋_GB2312" w:hAnsi="仿宋_GB2312" w:cs="仿宋_GB2312" w:hint="eastAsia"/>
          <w:color w:val="000000"/>
          <w:kern w:val="0"/>
          <w:sz w:val="28"/>
          <w:szCs w:val="28"/>
        </w:rPr>
        <w:t>，市委主要领导批示</w:t>
      </w:r>
      <w:r>
        <w:rPr>
          <w:rFonts w:ascii="仿宋_GB2312" w:eastAsia="仿宋_GB2312" w:hAnsi="仿宋_GB2312" w:cs="仿宋_GB2312" w:hint="eastAsia"/>
          <w:color w:val="000000"/>
          <w:kern w:val="0"/>
          <w:sz w:val="28"/>
          <w:szCs w:val="28"/>
        </w:rPr>
        <w:t>13</w:t>
      </w:r>
      <w:r>
        <w:rPr>
          <w:rFonts w:ascii="仿宋_GB2312" w:eastAsia="仿宋_GB2312" w:hAnsi="仿宋_GB2312" w:cs="仿宋_GB2312" w:hint="eastAsia"/>
          <w:color w:val="000000"/>
          <w:kern w:val="0"/>
          <w:sz w:val="28"/>
          <w:szCs w:val="28"/>
        </w:rPr>
        <w:t>次。</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认真履行全市调研工作联席会议办公室职责。组织召开新一届联席会议，审议通过新修订的联席会议工作规则及联络员制度。完成</w:t>
      </w:r>
      <w:r>
        <w:rPr>
          <w:rFonts w:ascii="仿宋_GB2312" w:eastAsia="仿宋_GB2312" w:hAnsi="仿宋_GB2312" w:cs="仿宋_GB2312" w:hint="eastAsia"/>
          <w:color w:val="000000"/>
          <w:kern w:val="0"/>
          <w:sz w:val="28"/>
          <w:szCs w:val="28"/>
        </w:rPr>
        <w:t>2020</w:t>
      </w:r>
      <w:r>
        <w:rPr>
          <w:rFonts w:ascii="仿宋_GB2312" w:eastAsia="仿宋_GB2312" w:hAnsi="仿宋_GB2312" w:cs="仿宋_GB2312" w:hint="eastAsia"/>
          <w:color w:val="000000"/>
          <w:kern w:val="0"/>
          <w:sz w:val="28"/>
          <w:szCs w:val="28"/>
        </w:rPr>
        <w:t>年市级重点课题结项</w:t>
      </w:r>
      <w:r>
        <w:rPr>
          <w:rFonts w:ascii="仿宋_GB2312" w:eastAsia="仿宋_GB2312" w:hAnsi="仿宋_GB2312" w:cs="仿宋_GB2312" w:hint="eastAsia"/>
          <w:color w:val="000000"/>
          <w:kern w:val="0"/>
          <w:sz w:val="28"/>
          <w:szCs w:val="28"/>
        </w:rPr>
        <w:t>125</w:t>
      </w:r>
      <w:r>
        <w:rPr>
          <w:rFonts w:ascii="仿宋_GB2312" w:eastAsia="仿宋_GB2312" w:hAnsi="仿宋_GB2312" w:cs="仿宋_GB2312" w:hint="eastAsia"/>
          <w:color w:val="000000"/>
          <w:kern w:val="0"/>
          <w:sz w:val="28"/>
          <w:szCs w:val="28"/>
        </w:rPr>
        <w:t>个，</w:t>
      </w: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年市级重点课题立项</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hint="eastAsia"/>
          <w:color w:val="000000"/>
          <w:kern w:val="0"/>
          <w:sz w:val="28"/>
          <w:szCs w:val="28"/>
        </w:rPr>
        <w:t>22</w:t>
      </w:r>
      <w:r>
        <w:rPr>
          <w:rFonts w:ascii="仿宋_GB2312" w:eastAsia="仿宋_GB2312" w:hAnsi="仿宋_GB2312" w:cs="仿宋_GB2312" w:hint="eastAsia"/>
          <w:color w:val="000000"/>
          <w:kern w:val="0"/>
          <w:sz w:val="28"/>
          <w:szCs w:val="28"/>
        </w:rPr>
        <w:t>个。启动第十五届全市优秀调研成果和调研工作先进单位评比表彰工作。完成《北京调研》改版，全年共编发</w:t>
      </w:r>
      <w:r>
        <w:rPr>
          <w:rFonts w:ascii="仿宋_GB2312" w:eastAsia="仿宋_GB2312" w:hAnsi="仿宋_GB2312" w:cs="仿宋_GB2312" w:hint="eastAsia"/>
          <w:color w:val="000000"/>
          <w:kern w:val="0"/>
          <w:sz w:val="28"/>
          <w:szCs w:val="28"/>
        </w:rPr>
        <w:t>12</w:t>
      </w:r>
      <w:r>
        <w:rPr>
          <w:rFonts w:ascii="仿宋_GB2312" w:eastAsia="仿宋_GB2312" w:hAnsi="仿宋_GB2312" w:cs="仿宋_GB2312" w:hint="eastAsia"/>
          <w:color w:val="000000"/>
          <w:kern w:val="0"/>
          <w:sz w:val="28"/>
          <w:szCs w:val="28"/>
        </w:rPr>
        <w:t>期，完成《决策参考》的编辑，全年共编发</w:t>
      </w:r>
      <w:r>
        <w:rPr>
          <w:rFonts w:ascii="仿宋_GB2312" w:eastAsia="仿宋_GB2312" w:hAnsi="仿宋_GB2312" w:cs="仿宋_GB2312" w:hint="eastAsia"/>
          <w:color w:val="000000"/>
          <w:kern w:val="0"/>
          <w:sz w:val="28"/>
          <w:szCs w:val="28"/>
        </w:rPr>
        <w:t>50期。</w:t>
      </w:r>
      <w:r>
        <w:rPr>
          <w:rFonts w:ascii="仿宋_GB2312" w:eastAsia="仿宋_GB2312" w:hAnsi="仿宋_GB2312" w:cs="仿宋_GB2312" w:hint="eastAsia"/>
          <w:color w:val="000000"/>
          <w:kern w:val="0"/>
          <w:sz w:val="28"/>
          <w:szCs w:val="28"/>
        </w:rPr>
        <w:t>完成《北京健康城市建设研究报告（</w:t>
      </w: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）》的出版工作，报告共包括</w:t>
      </w:r>
      <w:r>
        <w:rPr>
          <w:rFonts w:ascii="仿宋_GB2312" w:eastAsia="仿宋_GB2312" w:hAnsi="仿宋_GB2312" w:cs="仿宋_GB2312" w:hint="eastAsia"/>
          <w:color w:val="000000"/>
          <w:kern w:val="0"/>
          <w:sz w:val="28"/>
          <w:szCs w:val="28"/>
        </w:rPr>
        <w:t>7</w:t>
      </w:r>
      <w:r>
        <w:rPr>
          <w:rFonts w:ascii="仿宋_GB2312" w:eastAsia="仿宋_GB2312" w:hAnsi="仿宋_GB2312" w:cs="仿宋_GB2312" w:hint="eastAsia"/>
          <w:color w:val="000000"/>
          <w:kern w:val="0"/>
          <w:sz w:val="28"/>
          <w:szCs w:val="28"/>
        </w:rPr>
        <w:t>个篇章，共收录了智库研究类文章</w:t>
      </w:r>
      <w:r>
        <w:rPr>
          <w:rFonts w:ascii="仿宋_GB2312" w:eastAsia="仿宋_GB2312" w:hAnsi="仿宋_GB2312" w:cs="仿宋_GB2312" w:hint="eastAsia"/>
          <w:color w:val="000000"/>
          <w:kern w:val="0"/>
          <w:sz w:val="28"/>
          <w:szCs w:val="28"/>
        </w:rPr>
        <w:t>18</w:t>
      </w:r>
      <w:r>
        <w:rPr>
          <w:rFonts w:ascii="仿宋_GB2312" w:eastAsia="仿宋_GB2312" w:hAnsi="仿宋_GB2312" w:cs="仿宋_GB2312" w:hint="eastAsia"/>
          <w:color w:val="000000"/>
          <w:kern w:val="0"/>
          <w:sz w:val="28"/>
          <w:szCs w:val="28"/>
        </w:rPr>
        <w:t>篇。其中总报告</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hint="eastAsia"/>
          <w:color w:val="000000"/>
          <w:kern w:val="0"/>
          <w:sz w:val="28"/>
          <w:szCs w:val="28"/>
        </w:rPr>
        <w:t>篇、健康环境篇</w:t>
      </w:r>
      <w:r>
        <w:rPr>
          <w:rFonts w:ascii="仿宋_GB2312" w:eastAsia="仿宋_GB2312" w:hAnsi="仿宋_GB2312" w:cs="仿宋_GB2312" w:hint="eastAsia"/>
          <w:color w:val="000000"/>
          <w:kern w:val="0"/>
          <w:sz w:val="28"/>
          <w:szCs w:val="28"/>
        </w:rPr>
        <w:t>3</w:t>
      </w:r>
      <w:r>
        <w:rPr>
          <w:rFonts w:ascii="仿宋_GB2312" w:eastAsia="仿宋_GB2312" w:hAnsi="仿宋_GB2312" w:cs="仿宋_GB2312" w:hint="eastAsia"/>
          <w:color w:val="000000"/>
          <w:kern w:val="0"/>
          <w:sz w:val="28"/>
          <w:szCs w:val="28"/>
        </w:rPr>
        <w:t>篇、健康社会篇</w:t>
      </w:r>
      <w:r>
        <w:rPr>
          <w:rFonts w:ascii="仿宋_GB2312" w:eastAsia="仿宋_GB2312" w:hAnsi="仿宋_GB2312" w:cs="仿宋_GB2312" w:hint="eastAsia"/>
          <w:color w:val="000000"/>
          <w:kern w:val="0"/>
          <w:sz w:val="28"/>
          <w:szCs w:val="28"/>
        </w:rPr>
        <w:t>3</w:t>
      </w:r>
      <w:r>
        <w:rPr>
          <w:rFonts w:ascii="仿宋_GB2312" w:eastAsia="仿宋_GB2312" w:hAnsi="仿宋_GB2312" w:cs="仿宋_GB2312" w:hint="eastAsia"/>
          <w:color w:val="000000"/>
          <w:kern w:val="0"/>
          <w:sz w:val="28"/>
          <w:szCs w:val="28"/>
        </w:rPr>
        <w:t>篇、健康服务篇</w:t>
      </w:r>
      <w:r>
        <w:rPr>
          <w:rFonts w:ascii="仿宋_GB2312" w:eastAsia="仿宋_GB2312" w:hAnsi="仿宋_GB2312" w:cs="仿宋_GB2312" w:hint="eastAsia"/>
          <w:color w:val="000000"/>
          <w:kern w:val="0"/>
          <w:sz w:val="28"/>
          <w:szCs w:val="28"/>
        </w:rPr>
        <w:t>3</w:t>
      </w:r>
      <w:r>
        <w:rPr>
          <w:rFonts w:ascii="仿宋_GB2312" w:eastAsia="仿宋_GB2312" w:hAnsi="仿宋_GB2312" w:cs="仿宋_GB2312" w:hint="eastAsia"/>
          <w:color w:val="000000"/>
          <w:kern w:val="0"/>
          <w:sz w:val="28"/>
          <w:szCs w:val="28"/>
        </w:rPr>
        <w:t>篇、健康文化篇</w:t>
      </w:r>
      <w:r>
        <w:rPr>
          <w:rFonts w:ascii="仿宋_GB2312" w:eastAsia="仿宋_GB2312" w:hAnsi="仿宋_GB2312" w:cs="仿宋_GB2312" w:hint="eastAsia"/>
          <w:color w:val="000000"/>
          <w:kern w:val="0"/>
          <w:sz w:val="28"/>
          <w:szCs w:val="28"/>
        </w:rPr>
        <w:t>2</w:t>
      </w:r>
      <w:r>
        <w:rPr>
          <w:rFonts w:ascii="仿宋_GB2312" w:eastAsia="仿宋_GB2312" w:hAnsi="仿宋_GB2312" w:cs="仿宋_GB2312" w:hint="eastAsia"/>
          <w:color w:val="000000"/>
          <w:kern w:val="0"/>
          <w:sz w:val="28"/>
          <w:szCs w:val="28"/>
        </w:rPr>
        <w:t>篇、健康产业篇</w:t>
      </w:r>
      <w:r>
        <w:rPr>
          <w:rFonts w:ascii="仿宋_GB2312" w:eastAsia="仿宋_GB2312" w:hAnsi="仿宋_GB2312" w:cs="仿宋_GB2312" w:hint="eastAsia"/>
          <w:color w:val="000000"/>
          <w:kern w:val="0"/>
          <w:sz w:val="28"/>
          <w:szCs w:val="28"/>
        </w:rPr>
        <w:t>3</w:t>
      </w:r>
      <w:r>
        <w:rPr>
          <w:rFonts w:ascii="仿宋_GB2312" w:eastAsia="仿宋_GB2312" w:hAnsi="仿宋_GB2312" w:cs="仿宋_GB2312" w:hint="eastAsia"/>
          <w:color w:val="000000"/>
          <w:kern w:val="0"/>
          <w:sz w:val="28"/>
          <w:szCs w:val="28"/>
        </w:rPr>
        <w:t>篇、健康人群篇</w:t>
      </w:r>
      <w:r>
        <w:rPr>
          <w:rFonts w:ascii="仿宋_GB2312" w:eastAsia="仿宋_GB2312" w:hAnsi="仿宋_GB2312" w:cs="仿宋_GB2312" w:hint="eastAsia"/>
          <w:color w:val="000000"/>
          <w:kern w:val="0"/>
          <w:sz w:val="28"/>
          <w:szCs w:val="28"/>
        </w:rPr>
        <w:t>3</w:t>
      </w:r>
      <w:r>
        <w:rPr>
          <w:rFonts w:ascii="仿宋_GB2312" w:eastAsia="仿宋_GB2312" w:hAnsi="仿宋_GB2312" w:cs="仿宋_GB2312" w:hint="eastAsia"/>
          <w:color w:val="000000"/>
          <w:kern w:val="0"/>
          <w:sz w:val="28"/>
          <w:szCs w:val="28"/>
        </w:rPr>
        <w:t>篇。</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2</w:t>
      </w:r>
      <w:r>
        <w:rPr>
          <w:rFonts w:ascii="仿宋_GB2312" w:eastAsia="仿宋_GB2312" w:hAnsi="仿宋_GB2312" w:cs="仿宋_GB2312" w:hint="eastAsia"/>
          <w:color w:val="000000"/>
          <w:kern w:val="0"/>
          <w:sz w:val="28"/>
          <w:szCs w:val="28"/>
        </w:rPr>
        <w:t>）改革纵深推进情况</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高质量完成中央巡视涉及改革的整改任务。先后</w:t>
      </w:r>
      <w:r>
        <w:rPr>
          <w:rFonts w:ascii="仿宋_GB2312" w:eastAsia="仿宋_GB2312" w:hAnsi="仿宋_GB2312" w:cs="仿宋_GB2312" w:hint="eastAsia"/>
          <w:color w:val="000000"/>
          <w:kern w:val="0"/>
          <w:sz w:val="28"/>
          <w:szCs w:val="28"/>
        </w:rPr>
        <w:t>3</w:t>
      </w:r>
      <w:r>
        <w:rPr>
          <w:rFonts w:ascii="仿宋_GB2312" w:eastAsia="仿宋_GB2312" w:hAnsi="仿宋_GB2312" w:cs="仿宋_GB2312" w:hint="eastAsia"/>
          <w:color w:val="000000"/>
          <w:kern w:val="0"/>
          <w:sz w:val="28"/>
          <w:szCs w:val="28"/>
        </w:rPr>
        <w:t>次召开专题会议研究部署，形成整改工作方案，</w:t>
      </w:r>
      <w:r>
        <w:rPr>
          <w:rFonts w:ascii="仿宋_GB2312" w:eastAsia="仿宋_GB2312" w:hAnsi="仿宋_GB2312" w:cs="仿宋_GB2312" w:hint="eastAsia"/>
          <w:color w:val="000000"/>
          <w:kern w:val="0"/>
          <w:sz w:val="28"/>
          <w:szCs w:val="28"/>
        </w:rPr>
        <w:t>18</w:t>
      </w:r>
      <w:r>
        <w:rPr>
          <w:rFonts w:ascii="仿宋_GB2312" w:eastAsia="仿宋_GB2312" w:hAnsi="仿宋_GB2312" w:cs="仿宋_GB2312" w:hint="eastAsia"/>
          <w:color w:val="000000"/>
          <w:kern w:val="0"/>
          <w:sz w:val="28"/>
          <w:szCs w:val="28"/>
        </w:rPr>
        <w:t>项整改措施都明确了主要成效</w:t>
      </w:r>
      <w:r>
        <w:rPr>
          <w:rFonts w:ascii="仿宋_GB2312" w:eastAsia="仿宋_GB2312" w:hAnsi="仿宋_GB2312" w:cs="仿宋_GB2312" w:hint="eastAsia"/>
          <w:color w:val="000000"/>
          <w:kern w:val="0"/>
          <w:sz w:val="28"/>
          <w:szCs w:val="28"/>
        </w:rPr>
        <w:t>、完成时限和三级责任人。坚持统筹类、落实类、机制类问题分类整改，动态化管理、项目化推进，各项整改任务顺利完成，取得明显成效。</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加强重大改革整体谋划和攻坚落实。紧抓市委关注的重要领域和关键环节改革，研究制定“十四五”重要改革</w:t>
      </w:r>
      <w:r>
        <w:rPr>
          <w:rFonts w:ascii="仿宋_GB2312" w:eastAsia="仿宋_GB2312" w:hAnsi="仿宋_GB2312" w:cs="仿宋_GB2312" w:hint="eastAsia"/>
          <w:color w:val="000000"/>
          <w:kern w:val="0"/>
          <w:sz w:val="28"/>
          <w:szCs w:val="28"/>
        </w:rPr>
        <w:lastRenderedPageBreak/>
        <w:t>举措清单。统筹谋划市委深改委</w:t>
      </w: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年工作要点，提出</w:t>
      </w:r>
      <w:r>
        <w:rPr>
          <w:rFonts w:ascii="仿宋_GB2312" w:eastAsia="仿宋_GB2312" w:hAnsi="仿宋_GB2312" w:cs="仿宋_GB2312" w:hint="eastAsia"/>
          <w:color w:val="000000"/>
          <w:kern w:val="0"/>
          <w:sz w:val="28"/>
          <w:szCs w:val="28"/>
        </w:rPr>
        <w:t>68</w:t>
      </w:r>
      <w:r>
        <w:rPr>
          <w:rFonts w:ascii="仿宋_GB2312" w:eastAsia="仿宋_GB2312" w:hAnsi="仿宋_GB2312" w:cs="仿宋_GB2312" w:hint="eastAsia"/>
          <w:color w:val="000000"/>
          <w:kern w:val="0"/>
          <w:sz w:val="28"/>
          <w:szCs w:val="28"/>
        </w:rPr>
        <w:t>项改革任务、</w:t>
      </w:r>
      <w:r>
        <w:rPr>
          <w:rFonts w:ascii="仿宋_GB2312" w:eastAsia="仿宋_GB2312" w:hAnsi="仿宋_GB2312" w:cs="仿宋_GB2312" w:hint="eastAsia"/>
          <w:color w:val="000000"/>
          <w:kern w:val="0"/>
          <w:sz w:val="28"/>
          <w:szCs w:val="28"/>
        </w:rPr>
        <w:t>14</w:t>
      </w:r>
      <w:r>
        <w:rPr>
          <w:rFonts w:ascii="仿宋_GB2312" w:eastAsia="仿宋_GB2312" w:hAnsi="仿宋_GB2312" w:cs="仿宋_GB2312" w:hint="eastAsia"/>
          <w:color w:val="000000"/>
          <w:kern w:val="0"/>
          <w:sz w:val="28"/>
          <w:szCs w:val="28"/>
        </w:rPr>
        <w:t>项重点推进改革事项、</w:t>
      </w:r>
      <w:r>
        <w:rPr>
          <w:rFonts w:ascii="仿宋_GB2312" w:eastAsia="仿宋_GB2312" w:hAnsi="仿宋_GB2312" w:cs="仿宋_GB2312" w:hint="eastAsia"/>
          <w:color w:val="000000"/>
          <w:kern w:val="0"/>
          <w:sz w:val="28"/>
          <w:szCs w:val="28"/>
        </w:rPr>
        <w:t>35</w:t>
      </w:r>
      <w:r>
        <w:rPr>
          <w:rFonts w:ascii="仿宋_GB2312" w:eastAsia="仿宋_GB2312" w:hAnsi="仿宋_GB2312" w:cs="仿宋_GB2312" w:hint="eastAsia"/>
          <w:color w:val="000000"/>
          <w:kern w:val="0"/>
          <w:sz w:val="28"/>
          <w:szCs w:val="28"/>
        </w:rPr>
        <w:t>项市级督察事项。健全重点改革任务推进机制，以重点突破带动整体推进。加强重点改革问题调研，形成调研报告</w:t>
      </w:r>
      <w:r>
        <w:rPr>
          <w:rFonts w:ascii="仿宋_GB2312" w:eastAsia="仿宋_GB2312" w:hAnsi="仿宋_GB2312" w:cs="仿宋_GB2312" w:hint="eastAsia"/>
          <w:color w:val="000000"/>
          <w:kern w:val="0"/>
          <w:sz w:val="28"/>
          <w:szCs w:val="28"/>
        </w:rPr>
        <w:t>30</w:t>
      </w:r>
      <w:r>
        <w:rPr>
          <w:rFonts w:ascii="仿宋_GB2312" w:eastAsia="仿宋_GB2312" w:hAnsi="仿宋_GB2312" w:cs="仿宋_GB2312" w:hint="eastAsia"/>
          <w:color w:val="000000"/>
          <w:kern w:val="0"/>
          <w:sz w:val="28"/>
          <w:szCs w:val="28"/>
        </w:rPr>
        <w:t>余篇，</w:t>
      </w:r>
      <w:r>
        <w:rPr>
          <w:rFonts w:ascii="仿宋_GB2312" w:eastAsia="仿宋_GB2312" w:hAnsi="仿宋_GB2312" w:cs="仿宋_GB2312" w:hint="eastAsia"/>
          <w:color w:val="000000"/>
          <w:kern w:val="0"/>
          <w:sz w:val="28"/>
          <w:szCs w:val="28"/>
        </w:rPr>
        <w:t>20</w:t>
      </w:r>
      <w:r>
        <w:rPr>
          <w:rFonts w:ascii="仿宋_GB2312" w:eastAsia="仿宋_GB2312" w:hAnsi="仿宋_GB2312" w:cs="仿宋_GB2312" w:hint="eastAsia"/>
          <w:color w:val="000000"/>
          <w:kern w:val="0"/>
          <w:sz w:val="28"/>
          <w:szCs w:val="28"/>
        </w:rPr>
        <w:t>篇获市委主要领导批示，</w:t>
      </w:r>
      <w:r>
        <w:rPr>
          <w:rFonts w:ascii="仿宋_GB2312" w:eastAsia="仿宋_GB2312" w:hAnsi="仿宋_GB2312" w:cs="仿宋_GB2312" w:hint="eastAsia"/>
          <w:color w:val="000000"/>
          <w:kern w:val="0"/>
          <w:sz w:val="28"/>
          <w:szCs w:val="28"/>
        </w:rPr>
        <w:t>2</w:t>
      </w:r>
      <w:r>
        <w:rPr>
          <w:rFonts w:ascii="仿宋_GB2312" w:eastAsia="仿宋_GB2312" w:hAnsi="仿宋_GB2312" w:cs="仿宋_GB2312" w:hint="eastAsia"/>
          <w:color w:val="000000"/>
          <w:kern w:val="0"/>
          <w:sz w:val="28"/>
          <w:szCs w:val="28"/>
        </w:rPr>
        <w:t>篇转化为改革文件。加强改革经验总结推广，完善常态化长效机</w:t>
      </w:r>
      <w:r>
        <w:rPr>
          <w:rFonts w:ascii="仿宋_GB2312" w:eastAsia="仿宋_GB2312" w:hAnsi="仿宋_GB2312" w:cs="仿宋_GB2312" w:hint="eastAsia"/>
          <w:color w:val="000000"/>
          <w:kern w:val="0"/>
          <w:sz w:val="28"/>
          <w:szCs w:val="28"/>
        </w:rPr>
        <w:t>制，</w:t>
      </w:r>
      <w:r>
        <w:rPr>
          <w:rFonts w:ascii="仿宋_GB2312" w:eastAsia="仿宋_GB2312" w:hAnsi="仿宋_GB2312" w:cs="仿宋_GB2312" w:hint="eastAsia"/>
          <w:color w:val="000000"/>
          <w:kern w:val="0"/>
          <w:sz w:val="28"/>
          <w:szCs w:val="28"/>
        </w:rPr>
        <w:t>8</w:t>
      </w:r>
      <w:r>
        <w:rPr>
          <w:rFonts w:ascii="仿宋_GB2312" w:eastAsia="仿宋_GB2312" w:hAnsi="仿宋_GB2312" w:cs="仿宋_GB2312" w:hint="eastAsia"/>
          <w:color w:val="000000"/>
          <w:kern w:val="0"/>
          <w:sz w:val="28"/>
          <w:szCs w:val="28"/>
        </w:rPr>
        <w:t>篇典型经验在中央《改革情况交流》刊发。</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全力服务保障市委深改委会议。全年召开市委深改委会议</w:t>
      </w:r>
      <w:r>
        <w:rPr>
          <w:rFonts w:ascii="仿宋_GB2312" w:eastAsia="仿宋_GB2312" w:hAnsi="仿宋_GB2312" w:cs="仿宋_GB2312" w:hint="eastAsia"/>
          <w:color w:val="000000"/>
          <w:kern w:val="0"/>
          <w:sz w:val="28"/>
          <w:szCs w:val="28"/>
        </w:rPr>
        <w:t>9</w:t>
      </w:r>
      <w:r>
        <w:rPr>
          <w:rFonts w:ascii="仿宋_GB2312" w:eastAsia="仿宋_GB2312" w:hAnsi="仿宋_GB2312" w:cs="仿宋_GB2312" w:hint="eastAsia"/>
          <w:color w:val="000000"/>
          <w:kern w:val="0"/>
          <w:sz w:val="28"/>
          <w:szCs w:val="28"/>
        </w:rPr>
        <w:t>次，审议议题</w:t>
      </w:r>
      <w:r>
        <w:rPr>
          <w:rFonts w:ascii="仿宋_GB2312" w:eastAsia="仿宋_GB2312" w:hAnsi="仿宋_GB2312" w:cs="仿宋_GB2312" w:hint="eastAsia"/>
          <w:color w:val="000000"/>
          <w:kern w:val="0"/>
          <w:sz w:val="28"/>
          <w:szCs w:val="28"/>
        </w:rPr>
        <w:t>45</w:t>
      </w:r>
      <w:r>
        <w:rPr>
          <w:rFonts w:ascii="仿宋_GB2312" w:eastAsia="仿宋_GB2312" w:hAnsi="仿宋_GB2312" w:cs="仿宋_GB2312" w:hint="eastAsia"/>
          <w:color w:val="000000"/>
          <w:kern w:val="0"/>
          <w:sz w:val="28"/>
          <w:szCs w:val="28"/>
        </w:rPr>
        <w:t>个，书面审议议题</w:t>
      </w:r>
      <w:r>
        <w:rPr>
          <w:rFonts w:ascii="仿宋_GB2312" w:eastAsia="仿宋_GB2312" w:hAnsi="仿宋_GB2312" w:cs="仿宋_GB2312" w:hint="eastAsia"/>
          <w:color w:val="000000"/>
          <w:kern w:val="0"/>
          <w:sz w:val="28"/>
          <w:szCs w:val="28"/>
        </w:rPr>
        <w:t>28</w:t>
      </w:r>
      <w:r>
        <w:rPr>
          <w:rFonts w:ascii="仿宋_GB2312" w:eastAsia="仿宋_GB2312" w:hAnsi="仿宋_GB2312" w:cs="仿宋_GB2312" w:hint="eastAsia"/>
          <w:color w:val="000000"/>
          <w:kern w:val="0"/>
          <w:sz w:val="28"/>
          <w:szCs w:val="28"/>
        </w:rPr>
        <w:t>个。完善议题形成和动态调整机制，主动设置切口小、见效大的改革议题。强化议题审核把关，提高改革方案的针对性和穿透力，提升改革举措的“含金量”。健全中央深改委会议议题对接落实机制，确保党中央改革决策部署不折不扣落到实处。</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抓好改革全程督察。把改革督察作为推动落实的重要抓手，提出</w:t>
      </w:r>
      <w:r>
        <w:rPr>
          <w:rFonts w:ascii="仿宋_GB2312" w:eastAsia="仿宋_GB2312" w:hAnsi="仿宋_GB2312" w:cs="仿宋_GB2312" w:hint="eastAsia"/>
          <w:color w:val="000000"/>
          <w:kern w:val="0"/>
          <w:sz w:val="28"/>
          <w:szCs w:val="28"/>
        </w:rPr>
        <w:t>35</w:t>
      </w:r>
      <w:r>
        <w:rPr>
          <w:rFonts w:ascii="仿宋_GB2312" w:eastAsia="仿宋_GB2312" w:hAnsi="仿宋_GB2312" w:cs="仿宋_GB2312" w:hint="eastAsia"/>
          <w:color w:val="000000"/>
          <w:kern w:val="0"/>
          <w:sz w:val="28"/>
          <w:szCs w:val="28"/>
        </w:rPr>
        <w:t>项年度重点督察任务，构建督察工作闭环机制，着力在抓准、抓深、抓实上下功夫。推动健全市委深改督察组机制及分级分类督察工作体系，压实各督察主体责任，实现重点领域和关键环节改革督察全覆盖。</w:t>
      </w:r>
    </w:p>
    <w:p w:rsidR="00B04216" w:rsidRDefault="00A8438D">
      <w:pPr>
        <w:spacing w:line="580" w:lineRule="exact"/>
        <w:ind w:leftChars="50" w:left="105" w:firstLineChars="150" w:firstLine="42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（四）预算管理情况分析</w:t>
      </w:r>
    </w:p>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财务管理</w:t>
      </w:r>
    </w:p>
    <w:p w:rsidR="00B04216" w:rsidRDefault="00A8438D">
      <w:pPr>
        <w:spacing w:line="580" w:lineRule="exact"/>
        <w:ind w:leftChars="50" w:left="105" w:firstLineChars="150" w:firstLine="42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hint="eastAsia"/>
          <w:color w:val="000000"/>
          <w:kern w:val="0"/>
          <w:sz w:val="28"/>
          <w:szCs w:val="28"/>
        </w:rPr>
        <w:t>）财务管理制度健全性</w:t>
      </w:r>
    </w:p>
    <w:p w:rsidR="00B04216" w:rsidRDefault="00A8438D">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市委研究室</w:t>
      </w:r>
      <w:r>
        <w:rPr>
          <w:rFonts w:ascii="仿宋_GB2312" w:eastAsia="仿宋_GB2312" w:hAnsi="仿宋_GB2312" w:cs="仿宋_GB2312" w:hint="eastAsia"/>
          <w:sz w:val="28"/>
          <w:szCs w:val="28"/>
        </w:rPr>
        <w:t>2019</w:t>
      </w:r>
      <w:r>
        <w:rPr>
          <w:rFonts w:ascii="仿宋_GB2312" w:eastAsia="仿宋_GB2312" w:hAnsi="仿宋_GB2312" w:cs="仿宋_GB2312" w:hint="eastAsia"/>
          <w:sz w:val="28"/>
          <w:szCs w:val="28"/>
        </w:rPr>
        <w:t>年制定了《中国共产党北京市委员会研究室内部控制规范手册》，梳理了比较完善的内控流程和管理制度。一是明确了预算编制与管理流程的业务范围，确定了财政预算编报范围、财务预算内容、财务预算编制原则、财务预算管理组织机构的任务、财务预算的调整、财务预算的分析与考核等工作内容；二是制定了《中国共产党北京市委员会研究室预算管理制度》、《中国共产党北京市委员会研究室财务管理制度》、《中国共产党北京市委员会研究室资金支出管理办法》、《中国共产党北京市委员会研究室固定资产管理办法》、《中国共产党北京市委员会研</w:t>
      </w:r>
      <w:r>
        <w:rPr>
          <w:rFonts w:ascii="仿宋_GB2312" w:eastAsia="仿宋_GB2312" w:hAnsi="仿宋_GB2312" w:cs="仿宋_GB2312" w:hint="eastAsia"/>
          <w:sz w:val="28"/>
          <w:szCs w:val="28"/>
        </w:rPr>
        <w:t>究室采购管理办法》、《中国共产党北京市委员会研究室合同管理办法》、《中国共产党北京市委员会研究室课题管理办法》、《中国共产党北京市委员会研究室课题经费管理办法》等相关财务制度。</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rPr>
        <w:t>月在原有制度和市财政局新的制度规定的基础上，对我室的财务制度重新进行了修订，并编入《中共北京市委研究室机关制度汇编》。</w:t>
      </w:r>
    </w:p>
    <w:p w:rsidR="00B04216" w:rsidRDefault="00A8438D">
      <w:pPr>
        <w:spacing w:line="360" w:lineRule="auto"/>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2</w:t>
      </w:r>
      <w:r>
        <w:rPr>
          <w:rFonts w:ascii="仿宋_GB2312" w:eastAsia="仿宋_GB2312" w:hAnsi="仿宋_GB2312" w:cs="仿宋_GB2312" w:hint="eastAsia"/>
          <w:color w:val="000000"/>
          <w:kern w:val="0"/>
          <w:sz w:val="28"/>
          <w:szCs w:val="28"/>
        </w:rPr>
        <w:t>）资金使用合规性和安全性</w:t>
      </w:r>
    </w:p>
    <w:p w:rsidR="00B04216" w:rsidRDefault="00A8438D">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为规范资金使用，我室制定了《中国共产党北京市委员会研究室预算管理制度》、《中国共产党北京市委员会研究室财务管理制度》、《中国共产党北京市委员会研究室资金支出管理办法》、《中</w:t>
      </w:r>
      <w:r>
        <w:rPr>
          <w:rFonts w:ascii="仿宋_GB2312" w:eastAsia="仿宋_GB2312" w:hAnsi="仿宋_GB2312" w:cs="仿宋_GB2312" w:hint="eastAsia"/>
          <w:sz w:val="28"/>
          <w:szCs w:val="28"/>
        </w:rPr>
        <w:t>国共产党北京市委员会研究室课题管理办法》、《中国共产党北京市委员会研究室课题经费管理办法》等相关制度，对资金使用进行了要求。在</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年工作中发现在合同签订管理意识方面还有待加强。</w:t>
      </w:r>
    </w:p>
    <w:p w:rsidR="00B04216" w:rsidRDefault="00A8438D">
      <w:pPr>
        <w:spacing w:line="580" w:lineRule="exact"/>
        <w:ind w:leftChars="50" w:left="105" w:firstLineChars="150" w:firstLine="42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w:t>
      </w:r>
      <w:r>
        <w:rPr>
          <w:rFonts w:ascii="仿宋_GB2312" w:eastAsia="仿宋_GB2312" w:hAnsi="仿宋_GB2312" w:cs="仿宋_GB2312" w:hint="eastAsia"/>
          <w:color w:val="000000"/>
          <w:kern w:val="0"/>
          <w:sz w:val="28"/>
          <w:szCs w:val="28"/>
        </w:rPr>
        <w:t>3</w:t>
      </w:r>
      <w:r>
        <w:rPr>
          <w:rFonts w:ascii="仿宋_GB2312" w:eastAsia="仿宋_GB2312" w:hAnsi="仿宋_GB2312" w:cs="仿宋_GB2312" w:hint="eastAsia"/>
          <w:color w:val="000000"/>
          <w:kern w:val="0"/>
          <w:sz w:val="28"/>
          <w:szCs w:val="28"/>
        </w:rPr>
        <w:t>）会计基础信息完善性</w:t>
      </w:r>
    </w:p>
    <w:p w:rsidR="00B04216" w:rsidRDefault="00A8438D">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为了促进我</w:t>
      </w:r>
      <w:r w:rsidR="00712475">
        <w:rPr>
          <w:rFonts w:ascii="仿宋_GB2312" w:eastAsia="仿宋_GB2312" w:hAnsi="仿宋_GB2312" w:cs="仿宋_GB2312" w:hint="eastAsia"/>
          <w:sz w:val="28"/>
          <w:szCs w:val="28"/>
        </w:rPr>
        <w:t>单位</w:t>
      </w:r>
      <w:r>
        <w:rPr>
          <w:rFonts w:ascii="仿宋_GB2312" w:eastAsia="仿宋_GB2312" w:hAnsi="仿宋_GB2312" w:cs="仿宋_GB2312" w:hint="eastAsia"/>
          <w:sz w:val="28"/>
          <w:szCs w:val="28"/>
        </w:rPr>
        <w:t>发展，健全内部约束机制，做好我室财务核算工作，结合本单位具体情况，不断完善内部控制流程，修订内部控制相关制度，进行财务工作职责划分，明确各方职责，能够保证预算编制、预算执行等相关工作的准确性，保证会计核算的真实性、准确性和完整性，进一步规范会计基础工作，实现会计工作水平的不断提高，保证会计工</w:t>
      </w:r>
      <w:r>
        <w:rPr>
          <w:rFonts w:ascii="仿宋_GB2312" w:eastAsia="仿宋_GB2312" w:hAnsi="仿宋_GB2312" w:cs="仿宋_GB2312" w:hint="eastAsia"/>
          <w:sz w:val="28"/>
          <w:szCs w:val="28"/>
        </w:rPr>
        <w:t>作规范有序和工作质量的不断提高。通过对预算、执行、决算等相关数据的审核，能够保证会计基础信息的真实、准确和完整。</w:t>
      </w:r>
    </w:p>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资产管理</w:t>
      </w:r>
    </w:p>
    <w:p w:rsidR="00B04216" w:rsidRDefault="00A8438D">
      <w:p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努力健全组织制度</w:t>
      </w:r>
    </w:p>
    <w:p w:rsidR="00B04216" w:rsidRDefault="00A8438D">
      <w:p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健全的组织制度是资产管理的首要条件。我们通过建立资产管理领导小组，以及编撰《中国共产党北京市委员会研究室内部控制手册》，将资产管理纳入整体内控制度当中，将固定资产购置、验收以及处置都制度化、规范化。</w:t>
      </w:r>
    </w:p>
    <w:p w:rsidR="00B04216" w:rsidRDefault="00A8438D">
      <w:p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不断规范资产管理</w:t>
      </w:r>
    </w:p>
    <w:p w:rsidR="00B04216" w:rsidRDefault="00A8438D">
      <w:p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详细的登记统计是资产管理的根本基础。在前期详细的统计基础上，通过对研究室资产的动态管理和实时监控，使资产的来龙去脉摸得一清二楚。</w:t>
      </w:r>
    </w:p>
    <w:p w:rsidR="00B04216" w:rsidRDefault="00A8438D">
      <w:p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3.</w:t>
      </w:r>
      <w:r>
        <w:rPr>
          <w:rFonts w:ascii="仿宋_GB2312" w:eastAsia="仿宋_GB2312" w:hAnsi="仿宋_GB2312" w:cs="仿宋_GB2312" w:hint="eastAsia"/>
          <w:sz w:val="28"/>
          <w:szCs w:val="28"/>
        </w:rPr>
        <w:t>积极推</w:t>
      </w:r>
      <w:r>
        <w:rPr>
          <w:rFonts w:ascii="仿宋_GB2312" w:eastAsia="仿宋_GB2312" w:hAnsi="仿宋_GB2312" w:cs="仿宋_GB2312" w:hint="eastAsia"/>
          <w:sz w:val="28"/>
          <w:szCs w:val="28"/>
        </w:rPr>
        <w:t>进资预结合</w:t>
      </w:r>
    </w:p>
    <w:p w:rsidR="00B04216" w:rsidRDefault="00A8438D">
      <w:p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有效的资预结合是资产管理的基本保障。研究室非常重视资预结合工作的有机结合，没有预算的资产坚决不买，不足年限的坚决不更换，使资产管理与预算统一起来。</w:t>
      </w:r>
    </w:p>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绩效管理</w:t>
      </w:r>
    </w:p>
    <w:p w:rsidR="00B04216" w:rsidRDefault="00A8438D">
      <w:pPr>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按照市财政要求，我室切实推动财政资金使用开展绩效评价工作，按要求组织完成</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年度部门预算项目自评工作，评价项目</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个，占部门年初填报绩效目标且有效执行完毕项目总数的</w:t>
      </w:r>
      <w:r>
        <w:rPr>
          <w:rFonts w:ascii="仿宋_GB2312" w:eastAsia="仿宋_GB2312" w:hAnsi="仿宋_GB2312" w:cs="仿宋_GB2312" w:hint="eastAsia"/>
          <w:sz w:val="28"/>
          <w:szCs w:val="28"/>
        </w:rPr>
        <w:t>90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，涉及金额</w:t>
      </w:r>
      <w:r>
        <w:rPr>
          <w:rFonts w:ascii="仿宋_GB2312" w:eastAsia="仿宋_GB2312" w:hAnsi="仿宋_GB2312" w:cs="仿宋_GB2312" w:hint="eastAsia"/>
          <w:sz w:val="28"/>
          <w:szCs w:val="28"/>
        </w:rPr>
        <w:t>388.24</w:t>
      </w:r>
      <w:r>
        <w:rPr>
          <w:rFonts w:ascii="仿宋_GB2312" w:eastAsia="仿宋_GB2312" w:hAnsi="仿宋_GB2312" w:cs="仿宋_GB2312" w:hint="eastAsia"/>
          <w:sz w:val="28"/>
          <w:szCs w:val="28"/>
        </w:rPr>
        <w:t>万元，得分为优的</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个，其余</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个均为良。其中：单位自评项目</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个，涉及金额</w:t>
      </w:r>
      <w:r>
        <w:rPr>
          <w:rFonts w:ascii="仿宋_GB2312" w:eastAsia="仿宋_GB2312" w:hAnsi="仿宋_GB2312" w:cs="仿宋_GB2312" w:hint="eastAsia"/>
          <w:sz w:val="28"/>
          <w:szCs w:val="28"/>
        </w:rPr>
        <w:t>388.24</w:t>
      </w:r>
      <w:r>
        <w:rPr>
          <w:rFonts w:ascii="仿宋_GB2312" w:eastAsia="仿宋_GB2312" w:hAnsi="仿宋_GB2312" w:cs="仿宋_GB2312" w:hint="eastAsia"/>
          <w:sz w:val="28"/>
          <w:szCs w:val="28"/>
        </w:rPr>
        <w:t>万元，评价得分在</w:t>
      </w:r>
      <w:r>
        <w:rPr>
          <w:rFonts w:ascii="仿宋_GB2312" w:eastAsia="仿宋_GB2312" w:hAnsi="仿宋_GB2312" w:cs="仿宋_GB2312" w:hint="eastAsia"/>
          <w:sz w:val="28"/>
          <w:szCs w:val="28"/>
        </w:rPr>
        <w:t>90</w:t>
      </w:r>
      <w:r>
        <w:rPr>
          <w:rFonts w:ascii="仿宋_GB2312" w:eastAsia="仿宋_GB2312" w:hAnsi="仿宋_GB2312" w:cs="仿宋_GB2312" w:hint="eastAsia"/>
          <w:sz w:val="28"/>
          <w:szCs w:val="28"/>
        </w:rPr>
        <w:t>分（含）</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分的</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个，占比</w:t>
      </w:r>
      <w:r>
        <w:rPr>
          <w:rFonts w:ascii="仿宋_GB2312" w:eastAsia="仿宋_GB2312" w:hAnsi="仿宋_GB2312" w:cs="仿宋_GB2312" w:hint="eastAsia"/>
          <w:sz w:val="28"/>
          <w:szCs w:val="28"/>
        </w:rPr>
        <w:t>55.55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p>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结转结余率</w:t>
      </w:r>
    </w:p>
    <w:p w:rsidR="00B04216" w:rsidRDefault="00A8438D">
      <w:pPr>
        <w:spacing w:line="580" w:lineRule="exact"/>
        <w:ind w:firstLineChars="200"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2021</w:t>
      </w:r>
      <w:r>
        <w:rPr>
          <w:rFonts w:ascii="仿宋_GB2312" w:eastAsia="仿宋_GB2312" w:hAnsi="仿宋_GB2312" w:cs="仿宋_GB2312" w:hint="eastAsia"/>
          <w:color w:val="000000"/>
          <w:kern w:val="0"/>
          <w:sz w:val="28"/>
          <w:szCs w:val="28"/>
        </w:rPr>
        <w:t>年全年预算数</w:t>
      </w:r>
      <w:r>
        <w:rPr>
          <w:rFonts w:ascii="仿宋_GB2312" w:eastAsia="仿宋_GB2312" w:hAnsi="仿宋_GB2312" w:cs="仿宋_GB2312" w:hint="eastAsia"/>
          <w:color w:val="000000"/>
          <w:kern w:val="0"/>
          <w:sz w:val="28"/>
          <w:szCs w:val="28"/>
        </w:rPr>
        <w:t>4628.08</w:t>
      </w:r>
      <w:r>
        <w:rPr>
          <w:rFonts w:ascii="仿宋_GB2312" w:eastAsia="仿宋_GB2312" w:hAnsi="仿宋_GB2312" w:cs="仿宋_GB2312" w:hint="eastAsia"/>
          <w:color w:val="000000"/>
          <w:kern w:val="0"/>
          <w:sz w:val="28"/>
          <w:szCs w:val="28"/>
        </w:rPr>
        <w:t>万元，全年支出数</w:t>
      </w:r>
      <w:r>
        <w:rPr>
          <w:rFonts w:ascii="仿宋_GB2312" w:eastAsia="仿宋_GB2312" w:hAnsi="仿宋_GB2312" w:cs="仿宋_GB2312" w:hint="eastAsia"/>
          <w:color w:val="000000"/>
          <w:kern w:val="0"/>
          <w:sz w:val="28"/>
          <w:szCs w:val="28"/>
        </w:rPr>
        <w:t>4459.42</w:t>
      </w:r>
      <w:r>
        <w:rPr>
          <w:rFonts w:ascii="仿宋_GB2312" w:eastAsia="仿宋_GB2312" w:hAnsi="仿宋_GB2312" w:cs="仿宋_GB2312" w:hint="eastAsia"/>
          <w:color w:val="000000"/>
          <w:kern w:val="0"/>
          <w:sz w:val="28"/>
          <w:szCs w:val="28"/>
        </w:rPr>
        <w:t>万元，年末</w:t>
      </w:r>
      <w:r>
        <w:rPr>
          <w:rFonts w:ascii="仿宋_GB2312" w:eastAsia="仿宋_GB2312" w:hAnsi="仿宋_GB2312" w:cs="仿宋_GB2312" w:hint="eastAsia"/>
          <w:color w:val="000000"/>
          <w:kern w:val="0"/>
          <w:sz w:val="28"/>
          <w:szCs w:val="28"/>
        </w:rPr>
        <w:t>结转结余</w:t>
      </w:r>
      <w:r>
        <w:rPr>
          <w:rFonts w:ascii="仿宋_GB2312" w:eastAsia="仿宋_GB2312" w:hAnsi="仿宋_GB2312" w:cs="仿宋_GB2312" w:hint="eastAsia"/>
          <w:color w:val="000000"/>
          <w:kern w:val="0"/>
          <w:sz w:val="28"/>
          <w:szCs w:val="28"/>
        </w:rPr>
        <w:t>165.67</w:t>
      </w:r>
      <w:r>
        <w:rPr>
          <w:rFonts w:ascii="仿宋_GB2312" w:eastAsia="仿宋_GB2312" w:hAnsi="仿宋_GB2312" w:cs="仿宋_GB2312" w:hint="eastAsia"/>
          <w:color w:val="000000"/>
          <w:kern w:val="0"/>
          <w:sz w:val="28"/>
          <w:szCs w:val="28"/>
        </w:rPr>
        <w:t>万元，结转结余率为</w:t>
      </w:r>
      <w:r>
        <w:rPr>
          <w:rFonts w:ascii="仿宋_GB2312" w:eastAsia="仿宋_GB2312" w:hAnsi="仿宋_GB2312" w:cs="仿宋_GB2312" w:hint="eastAsia"/>
          <w:color w:val="000000"/>
          <w:kern w:val="0"/>
          <w:sz w:val="28"/>
          <w:szCs w:val="28"/>
        </w:rPr>
        <w:t>3.64%</w:t>
      </w:r>
      <w:r>
        <w:rPr>
          <w:rFonts w:ascii="仿宋_GB2312" w:eastAsia="仿宋_GB2312" w:hAnsi="仿宋_GB2312" w:cs="仿宋_GB2312" w:hint="eastAsia"/>
          <w:color w:val="000000"/>
          <w:kern w:val="0"/>
          <w:sz w:val="28"/>
          <w:szCs w:val="28"/>
        </w:rPr>
        <w:t>。其中，基本支出预算数</w:t>
      </w:r>
      <w:r>
        <w:rPr>
          <w:rFonts w:ascii="仿宋_GB2312" w:eastAsia="仿宋_GB2312" w:hAnsi="仿宋_GB2312" w:cs="仿宋_GB2312" w:hint="eastAsia"/>
          <w:color w:val="000000"/>
          <w:kern w:val="0"/>
          <w:sz w:val="28"/>
          <w:szCs w:val="28"/>
        </w:rPr>
        <w:t>4011.33</w:t>
      </w:r>
      <w:r>
        <w:rPr>
          <w:rFonts w:ascii="仿宋_GB2312" w:eastAsia="仿宋_GB2312" w:hAnsi="仿宋_GB2312" w:cs="仿宋_GB2312" w:hint="eastAsia"/>
          <w:color w:val="000000"/>
          <w:kern w:val="0"/>
          <w:sz w:val="28"/>
          <w:szCs w:val="28"/>
        </w:rPr>
        <w:t>万元，决算数</w:t>
      </w:r>
      <w:r>
        <w:rPr>
          <w:rFonts w:ascii="仿宋_GB2312" w:eastAsia="仿宋_GB2312" w:hAnsi="仿宋_GB2312" w:cs="仿宋_GB2312" w:hint="eastAsia"/>
          <w:color w:val="000000"/>
          <w:kern w:val="0"/>
          <w:sz w:val="28"/>
          <w:szCs w:val="28"/>
        </w:rPr>
        <w:t>3908.26</w:t>
      </w:r>
      <w:r>
        <w:rPr>
          <w:rFonts w:ascii="仿宋_GB2312" w:eastAsia="仿宋_GB2312" w:hAnsi="仿宋_GB2312" w:cs="仿宋_GB2312" w:hint="eastAsia"/>
          <w:color w:val="000000"/>
          <w:kern w:val="0"/>
          <w:sz w:val="28"/>
          <w:szCs w:val="28"/>
        </w:rPr>
        <w:t>万元，结转结余</w:t>
      </w:r>
      <w:r>
        <w:rPr>
          <w:rFonts w:ascii="仿宋_GB2312" w:eastAsia="仿宋_GB2312" w:hAnsi="仿宋_GB2312" w:cs="仿宋_GB2312" w:hint="eastAsia"/>
          <w:color w:val="000000"/>
          <w:kern w:val="0"/>
          <w:sz w:val="28"/>
          <w:szCs w:val="28"/>
        </w:rPr>
        <w:t>103.07</w:t>
      </w:r>
      <w:r>
        <w:rPr>
          <w:rFonts w:ascii="仿宋_GB2312" w:eastAsia="仿宋_GB2312" w:hAnsi="仿宋_GB2312" w:cs="仿宋_GB2312" w:hint="eastAsia"/>
          <w:color w:val="000000"/>
          <w:kern w:val="0"/>
          <w:sz w:val="28"/>
          <w:szCs w:val="28"/>
        </w:rPr>
        <w:t>万元，</w:t>
      </w:r>
      <w:r>
        <w:rPr>
          <w:rFonts w:ascii="仿宋_GB2312" w:eastAsia="仿宋_GB2312" w:hAnsi="仿宋_GB2312" w:cs="仿宋_GB2312" w:hint="eastAsia"/>
          <w:color w:val="000000"/>
          <w:kern w:val="0"/>
          <w:sz w:val="28"/>
          <w:szCs w:val="28"/>
        </w:rPr>
        <w:t>项目支出预算数</w:t>
      </w:r>
      <w:r>
        <w:rPr>
          <w:rFonts w:ascii="仿宋_GB2312" w:eastAsia="仿宋_GB2312" w:hAnsi="仿宋_GB2312" w:cs="仿宋_GB2312" w:hint="eastAsia"/>
          <w:color w:val="000000"/>
          <w:kern w:val="0"/>
          <w:sz w:val="28"/>
          <w:szCs w:val="28"/>
        </w:rPr>
        <w:t>616.75</w:t>
      </w:r>
      <w:r>
        <w:rPr>
          <w:rFonts w:ascii="仿宋_GB2312" w:eastAsia="仿宋_GB2312" w:hAnsi="仿宋_GB2312" w:cs="仿宋_GB2312" w:hint="eastAsia"/>
          <w:color w:val="000000"/>
          <w:kern w:val="0"/>
          <w:sz w:val="28"/>
          <w:szCs w:val="28"/>
        </w:rPr>
        <w:t>万元，决算数</w:t>
      </w:r>
      <w:r>
        <w:rPr>
          <w:rFonts w:ascii="仿宋_GB2312" w:eastAsia="仿宋_GB2312" w:hAnsi="仿宋_GB2312" w:cs="仿宋_GB2312" w:hint="eastAsia"/>
          <w:color w:val="000000"/>
          <w:kern w:val="0"/>
          <w:sz w:val="28"/>
          <w:szCs w:val="28"/>
        </w:rPr>
        <w:t>554.15</w:t>
      </w:r>
      <w:r>
        <w:rPr>
          <w:rFonts w:ascii="仿宋_GB2312" w:eastAsia="仿宋_GB2312" w:hAnsi="仿宋_GB2312" w:cs="仿宋_GB2312" w:hint="eastAsia"/>
          <w:color w:val="000000"/>
          <w:kern w:val="0"/>
          <w:sz w:val="28"/>
          <w:szCs w:val="28"/>
        </w:rPr>
        <w:t>万元，</w:t>
      </w:r>
      <w:r>
        <w:rPr>
          <w:rFonts w:ascii="仿宋_GB2312" w:eastAsia="仿宋_GB2312" w:hAnsi="仿宋_GB2312" w:cs="仿宋_GB2312" w:hint="eastAsia"/>
          <w:color w:val="000000"/>
          <w:kern w:val="0"/>
          <w:sz w:val="28"/>
          <w:szCs w:val="28"/>
        </w:rPr>
        <w:t>结转结余</w:t>
      </w:r>
      <w:r>
        <w:rPr>
          <w:rFonts w:ascii="仿宋_GB2312" w:eastAsia="仿宋_GB2312" w:hAnsi="仿宋_GB2312" w:cs="仿宋_GB2312" w:hint="eastAsia"/>
          <w:color w:val="000000"/>
          <w:kern w:val="0"/>
          <w:sz w:val="28"/>
          <w:szCs w:val="28"/>
        </w:rPr>
        <w:t>62.6</w:t>
      </w:r>
      <w:r>
        <w:rPr>
          <w:rFonts w:ascii="仿宋_GB2312" w:eastAsia="仿宋_GB2312" w:hAnsi="仿宋_GB2312" w:cs="仿宋_GB2312" w:hint="eastAsia"/>
          <w:color w:val="000000"/>
          <w:kern w:val="0"/>
          <w:sz w:val="28"/>
          <w:szCs w:val="28"/>
        </w:rPr>
        <w:t>万元</w:t>
      </w:r>
      <w:r>
        <w:rPr>
          <w:rFonts w:ascii="仿宋_GB2312" w:eastAsia="仿宋_GB2312" w:hAnsi="仿宋_GB2312" w:cs="仿宋_GB2312" w:hint="eastAsia"/>
          <w:color w:val="000000"/>
          <w:kern w:val="0"/>
          <w:sz w:val="28"/>
          <w:szCs w:val="28"/>
        </w:rPr>
        <w:t>。</w:t>
      </w:r>
    </w:p>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部门预决算差异率</w:t>
      </w:r>
    </w:p>
    <w:p w:rsidR="00B04216" w:rsidRDefault="00A8438D">
      <w:pPr>
        <w:pStyle w:val="a0"/>
        <w:ind w:firstLine="560"/>
      </w:pPr>
      <w:r>
        <w:rPr>
          <w:rFonts w:ascii="仿宋_GB2312" w:eastAsia="仿宋_GB2312" w:hint="eastAsia"/>
          <w:sz w:val="28"/>
          <w:szCs w:val="28"/>
        </w:rPr>
        <w:lastRenderedPageBreak/>
        <w:t>2021</w:t>
      </w:r>
      <w:r>
        <w:rPr>
          <w:rFonts w:ascii="仿宋_GB2312" w:eastAsia="仿宋_GB2312" w:hint="eastAsia"/>
          <w:sz w:val="28"/>
          <w:szCs w:val="28"/>
        </w:rPr>
        <w:t>年年初预算数</w:t>
      </w:r>
      <w:r>
        <w:rPr>
          <w:rFonts w:ascii="仿宋_GB2312" w:eastAsia="仿宋_GB2312" w:hint="eastAsia"/>
          <w:sz w:val="28"/>
          <w:szCs w:val="28"/>
        </w:rPr>
        <w:t>4632.18</w:t>
      </w:r>
      <w:r>
        <w:rPr>
          <w:rFonts w:ascii="仿宋_GB2312" w:eastAsia="仿宋_GB2312" w:hint="eastAsia"/>
          <w:sz w:val="28"/>
          <w:szCs w:val="28"/>
        </w:rPr>
        <w:t>万元，</w:t>
      </w:r>
      <w:r>
        <w:rPr>
          <w:rFonts w:ascii="仿宋_GB2312" w:eastAsia="仿宋_GB2312" w:hint="eastAsia"/>
          <w:sz w:val="28"/>
          <w:szCs w:val="28"/>
        </w:rPr>
        <w:t>2021</w:t>
      </w:r>
      <w:r>
        <w:rPr>
          <w:rFonts w:ascii="仿宋_GB2312" w:eastAsia="仿宋_GB2312" w:hint="eastAsia"/>
          <w:sz w:val="28"/>
          <w:szCs w:val="28"/>
        </w:rPr>
        <w:t>年度决算</w:t>
      </w:r>
      <w:r>
        <w:rPr>
          <w:rFonts w:ascii="仿宋_GB2312" w:eastAsia="仿宋_GB2312" w:hint="eastAsia"/>
          <w:sz w:val="28"/>
          <w:szCs w:val="28"/>
        </w:rPr>
        <w:t>4459.42</w:t>
      </w:r>
      <w:r>
        <w:rPr>
          <w:rFonts w:ascii="仿宋_GB2312" w:eastAsia="仿宋_GB2312" w:hint="eastAsia"/>
          <w:sz w:val="28"/>
          <w:szCs w:val="28"/>
        </w:rPr>
        <w:t>万元，</w:t>
      </w:r>
      <w:r>
        <w:rPr>
          <w:rFonts w:ascii="仿宋_GB2312" w:eastAsia="仿宋_GB2312" w:hAnsi="仿宋_GB2312" w:cs="仿宋_GB2312" w:hint="eastAsia"/>
          <w:sz w:val="28"/>
          <w:szCs w:val="28"/>
        </w:rPr>
        <w:t>部门预决算差异率为</w:t>
      </w:r>
      <w:r>
        <w:rPr>
          <w:rFonts w:ascii="仿宋_GB2312" w:eastAsia="仿宋_GB2312" w:hAnsi="仿宋_GB2312" w:cs="仿宋_GB2312" w:hint="eastAsia"/>
          <w:sz w:val="28"/>
          <w:szCs w:val="28"/>
        </w:rPr>
        <w:t>3.73%</w:t>
      </w:r>
      <w:r>
        <w:rPr>
          <w:rFonts w:ascii="仿宋_GB2312" w:eastAsia="仿宋_GB2312" w:hAnsi="仿宋_GB2312" w:cs="仿宋_GB2312" w:hint="eastAsia"/>
          <w:sz w:val="28"/>
          <w:szCs w:val="28"/>
        </w:rPr>
        <w:t>。</w:t>
      </w:r>
    </w:p>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（五）总体评价结论</w:t>
      </w:r>
    </w:p>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评价得分情况</w:t>
      </w:r>
    </w:p>
    <w:p w:rsidR="00B04216" w:rsidRDefault="00B04216">
      <w:pPr>
        <w:pStyle w:val="a0"/>
        <w:ind w:firstLine="420"/>
      </w:pPr>
    </w:p>
    <w:p w:rsidR="00B04216" w:rsidRDefault="00B04216">
      <w:pPr>
        <w:pStyle w:val="a0"/>
        <w:ind w:firstLine="420"/>
      </w:pPr>
    </w:p>
    <w:tbl>
      <w:tblPr>
        <w:tblW w:w="5000" w:type="pct"/>
        <w:tblLayout w:type="fixed"/>
        <w:tblLook w:val="04A0"/>
      </w:tblPr>
      <w:tblGrid>
        <w:gridCol w:w="938"/>
        <w:gridCol w:w="975"/>
        <w:gridCol w:w="774"/>
        <w:gridCol w:w="105"/>
        <w:gridCol w:w="879"/>
        <w:gridCol w:w="105"/>
        <w:gridCol w:w="544"/>
        <w:gridCol w:w="261"/>
        <w:gridCol w:w="417"/>
        <w:gridCol w:w="181"/>
        <w:gridCol w:w="227"/>
        <w:gridCol w:w="371"/>
        <w:gridCol w:w="173"/>
        <w:gridCol w:w="3983"/>
        <w:gridCol w:w="94"/>
        <w:gridCol w:w="4147"/>
      </w:tblGrid>
      <w:tr w:rsidR="00B04216">
        <w:trPr>
          <w:trHeight w:val="499"/>
        </w:trPr>
        <w:tc>
          <w:tcPr>
            <w:tcW w:w="5000" w:type="pct"/>
            <w:gridSpan w:val="16"/>
            <w:tcBorders>
              <w:top w:val="nil"/>
              <w:left w:val="nil"/>
              <w:bottom w:val="single" w:sz="4" w:space="0" w:color="auto"/>
              <w:right w:val="nil"/>
            </w:tcBorders>
            <w:noWrap/>
            <w:vAlign w:val="bottom"/>
          </w:tcPr>
          <w:p w:rsidR="00B04216" w:rsidRDefault="00A8438D">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t>2021</w:t>
            </w:r>
            <w:r>
              <w:rPr>
                <w:rFonts w:ascii="方正小标宋简体" w:eastAsia="方正小标宋简体" w:hAnsi="黑体" w:cs="宋体" w:hint="eastAsia"/>
                <w:color w:val="000000"/>
                <w:kern w:val="0"/>
                <w:sz w:val="44"/>
                <w:szCs w:val="44"/>
              </w:rPr>
              <w:t>年部门整体绩效评价指标体系评分表</w:t>
            </w:r>
          </w:p>
        </w:tc>
      </w:tr>
      <w:tr w:rsidR="00B04216">
        <w:trPr>
          <w:trHeight w:val="470"/>
        </w:trPr>
        <w:tc>
          <w:tcPr>
            <w:tcW w:w="5000" w:type="pct"/>
            <w:gridSpan w:val="16"/>
            <w:tcBorders>
              <w:top w:val="single" w:sz="4" w:space="0" w:color="auto"/>
              <w:left w:val="single" w:sz="4" w:space="0" w:color="auto"/>
              <w:bottom w:val="single" w:sz="4" w:space="0" w:color="000000"/>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w:t>
            </w:r>
            <w:r>
              <w:rPr>
                <w:rFonts w:ascii="宋体" w:hAnsi="宋体" w:cs="宋体" w:hint="eastAsia"/>
                <w:color w:val="000000"/>
                <w:kern w:val="0"/>
                <w:sz w:val="20"/>
                <w:szCs w:val="20"/>
              </w:rPr>
              <w:t>20</w:t>
            </w:r>
            <w:r>
              <w:rPr>
                <w:rFonts w:ascii="宋体" w:hAnsi="宋体" w:cs="宋体" w:hint="eastAsia"/>
                <w:color w:val="000000"/>
                <w:kern w:val="0"/>
                <w:sz w:val="20"/>
                <w:szCs w:val="20"/>
              </w:rPr>
              <w:t>分）</w:t>
            </w:r>
          </w:p>
        </w:tc>
      </w:tr>
      <w:tr w:rsidR="00B04216">
        <w:trPr>
          <w:trHeight w:val="660"/>
        </w:trPr>
        <w:tc>
          <w:tcPr>
            <w:tcW w:w="331"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44"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347"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284"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11"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11"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496"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B04216">
        <w:trPr>
          <w:trHeight w:val="630"/>
        </w:trPr>
        <w:tc>
          <w:tcPr>
            <w:tcW w:w="331" w:type="pct"/>
            <w:vMerge w:val="restart"/>
            <w:tcBorders>
              <w:top w:val="nil"/>
              <w:left w:val="single" w:sz="4" w:space="0" w:color="auto"/>
              <w:bottom w:val="single" w:sz="4" w:space="0" w:color="000000"/>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w:t>
            </w:r>
            <w:r>
              <w:rPr>
                <w:rFonts w:ascii="宋体" w:hAnsi="宋体" w:cs="宋体" w:hint="eastAsia"/>
                <w:color w:val="000000"/>
                <w:kern w:val="0"/>
                <w:sz w:val="20"/>
                <w:szCs w:val="20"/>
              </w:rPr>
              <w:t>20</w:t>
            </w:r>
            <w:r>
              <w:rPr>
                <w:rFonts w:ascii="宋体" w:hAnsi="宋体" w:cs="宋体" w:hint="eastAsia"/>
                <w:color w:val="000000"/>
                <w:kern w:val="0"/>
                <w:sz w:val="20"/>
                <w:szCs w:val="20"/>
              </w:rPr>
              <w:t>）</w:t>
            </w:r>
          </w:p>
        </w:tc>
        <w:tc>
          <w:tcPr>
            <w:tcW w:w="344"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310"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4628.08</w:t>
            </w:r>
          </w:p>
        </w:tc>
        <w:tc>
          <w:tcPr>
            <w:tcW w:w="347"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rPr>
                <w:rFonts w:ascii="宋体" w:hAnsi="宋体" w:cs="宋体"/>
                <w:color w:val="000000"/>
                <w:kern w:val="0"/>
                <w:sz w:val="20"/>
                <w:szCs w:val="20"/>
              </w:rPr>
            </w:pPr>
            <w:r>
              <w:rPr>
                <w:rFonts w:ascii="宋体" w:hAnsi="宋体" w:cs="宋体" w:hint="eastAsia"/>
                <w:color w:val="000000"/>
                <w:kern w:val="0"/>
                <w:sz w:val="20"/>
                <w:szCs w:val="20"/>
              </w:rPr>
              <w:t>4459.42</w:t>
            </w:r>
          </w:p>
        </w:tc>
        <w:tc>
          <w:tcPr>
            <w:tcW w:w="284"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96.36%</w:t>
            </w:r>
            <w:r>
              <w:rPr>
                <w:rFonts w:ascii="宋体" w:hAnsi="宋体" w:cs="宋体" w:hint="eastAsia"/>
                <w:color w:val="000000"/>
                <w:kern w:val="0"/>
                <w:sz w:val="20"/>
                <w:szCs w:val="20"/>
              </w:rPr>
              <w:t xml:space="preserve">　</w:t>
            </w:r>
          </w:p>
        </w:tc>
        <w:tc>
          <w:tcPr>
            <w:tcW w:w="211" w:type="pct"/>
            <w:gridSpan w:val="2"/>
            <w:vMerge w:val="restart"/>
            <w:tcBorders>
              <w:top w:val="single" w:sz="4" w:space="0" w:color="auto"/>
              <w:left w:val="single" w:sz="4" w:space="0" w:color="auto"/>
              <w:bottom w:val="single" w:sz="4" w:space="0" w:color="auto"/>
              <w:right w:val="single" w:sz="4" w:space="0" w:color="auto"/>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211" w:type="pct"/>
            <w:gridSpan w:val="2"/>
            <w:vMerge w:val="restart"/>
            <w:tcBorders>
              <w:top w:val="single" w:sz="4" w:space="0" w:color="auto"/>
              <w:left w:val="single" w:sz="4" w:space="0" w:color="auto"/>
              <w:bottom w:val="single" w:sz="4" w:space="0" w:color="auto"/>
              <w:right w:val="single" w:sz="4" w:space="0" w:color="auto"/>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18</w:t>
            </w:r>
          </w:p>
        </w:tc>
        <w:tc>
          <w:tcPr>
            <w:tcW w:w="1466" w:type="pct"/>
            <w:gridSpan w:val="2"/>
            <w:vMerge w:val="restar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w:t>
            </w:r>
            <w:r>
              <w:rPr>
                <w:rFonts w:ascii="宋体" w:hAnsi="宋体" w:cs="宋体" w:hint="eastAsia"/>
                <w:color w:val="000000"/>
                <w:kern w:val="0"/>
                <w:sz w:val="18"/>
                <w:szCs w:val="18"/>
              </w:rPr>
              <w:t>=</w:t>
            </w:r>
            <w:r>
              <w:rPr>
                <w:rFonts w:ascii="宋体" w:hAnsi="宋体" w:cs="宋体" w:hint="eastAsia"/>
                <w:color w:val="000000"/>
                <w:kern w:val="0"/>
                <w:sz w:val="18"/>
                <w:szCs w:val="18"/>
              </w:rPr>
              <w:t>基本支出</w:t>
            </w:r>
            <w:r>
              <w:rPr>
                <w:rFonts w:ascii="宋体" w:hAnsi="宋体" w:cs="宋体" w:hint="eastAsia"/>
                <w:color w:val="000000"/>
                <w:kern w:val="0"/>
                <w:sz w:val="18"/>
                <w:szCs w:val="18"/>
              </w:rPr>
              <w:t>+</w:t>
            </w:r>
            <w:r>
              <w:rPr>
                <w:rFonts w:ascii="宋体" w:hAnsi="宋体" w:cs="宋体" w:hint="eastAsia"/>
                <w:color w:val="000000"/>
                <w:kern w:val="0"/>
                <w:sz w:val="18"/>
                <w:szCs w:val="18"/>
              </w:rPr>
              <w:t>项目支出</w:t>
            </w:r>
            <w:r>
              <w:rPr>
                <w:rFonts w:ascii="宋体" w:hAnsi="宋体" w:cs="宋体" w:hint="eastAsia"/>
                <w:color w:val="000000"/>
                <w:kern w:val="0"/>
                <w:sz w:val="18"/>
                <w:szCs w:val="18"/>
              </w:rPr>
              <w:t>+</w:t>
            </w:r>
            <w:r>
              <w:rPr>
                <w:rFonts w:ascii="宋体" w:hAnsi="宋体" w:cs="宋体" w:hint="eastAsia"/>
                <w:color w:val="000000"/>
                <w:kern w:val="0"/>
                <w:sz w:val="18"/>
                <w:szCs w:val="18"/>
              </w:rPr>
              <w:t>其他</w:t>
            </w:r>
          </w:p>
        </w:tc>
        <w:tc>
          <w:tcPr>
            <w:tcW w:w="1496" w:type="pct"/>
            <w:gridSpan w:val="2"/>
            <w:vMerge w:val="restart"/>
            <w:tcBorders>
              <w:top w:val="nil"/>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w:t>
            </w:r>
            <w:r>
              <w:rPr>
                <w:rFonts w:ascii="宋体" w:hAnsi="宋体" w:cs="宋体" w:hint="eastAsia"/>
                <w:color w:val="000000"/>
                <w:kern w:val="0"/>
                <w:sz w:val="18"/>
                <w:szCs w:val="18"/>
              </w:rPr>
              <w:t>20</w:t>
            </w:r>
            <w:r>
              <w:rPr>
                <w:rFonts w:ascii="宋体" w:hAnsi="宋体" w:cs="宋体" w:hint="eastAsia"/>
                <w:color w:val="000000"/>
                <w:kern w:val="0"/>
                <w:sz w:val="18"/>
                <w:szCs w:val="18"/>
              </w:rPr>
              <w:t>分）。</w:t>
            </w:r>
            <w:r>
              <w:rPr>
                <w:rFonts w:ascii="宋体" w:hAnsi="宋体" w:cs="宋体" w:hint="eastAsia"/>
                <w:color w:val="000000"/>
                <w:kern w:val="0"/>
                <w:sz w:val="18"/>
                <w:szCs w:val="18"/>
              </w:rPr>
              <w:br/>
            </w:r>
            <w:r>
              <w:rPr>
                <w:rFonts w:ascii="宋体" w:hAnsi="宋体" w:cs="宋体" w:hint="eastAsia"/>
                <w:color w:val="000000"/>
                <w:kern w:val="0"/>
                <w:sz w:val="18"/>
                <w:szCs w:val="18"/>
              </w:rPr>
              <w:t>②该指标若为正向指标，则得分计算方法应用全年实际值（</w:t>
            </w:r>
            <w:r>
              <w:rPr>
                <w:rFonts w:ascii="宋体" w:hAnsi="宋体" w:cs="宋体" w:hint="eastAsia"/>
                <w:color w:val="000000"/>
                <w:kern w:val="0"/>
                <w:sz w:val="18"/>
                <w:szCs w:val="18"/>
              </w:rPr>
              <w:t>B</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该指标分值；若定量指标为反向指标，则得分计算方法应用年度指标值（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全年实际值（</w:t>
            </w:r>
            <w:r>
              <w:rPr>
                <w:rFonts w:ascii="宋体" w:hAnsi="宋体" w:cs="宋体" w:hint="eastAsia"/>
                <w:color w:val="000000"/>
                <w:kern w:val="0"/>
                <w:sz w:val="18"/>
                <w:szCs w:val="18"/>
              </w:rPr>
              <w:t>B</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该指标分值。若年初指标值设定偏低，则得分计算方法应用（全年实际值</w:t>
            </w:r>
            <w:r>
              <w:rPr>
                <w:rFonts w:ascii="宋体" w:hAnsi="宋体" w:cs="宋体" w:hint="eastAsia"/>
                <w:color w:val="000000"/>
                <w:kern w:val="0"/>
                <w:sz w:val="18"/>
                <w:szCs w:val="18"/>
              </w:rPr>
              <w:lastRenderedPageBreak/>
              <w:t>（</w:t>
            </w:r>
            <w:r>
              <w:rPr>
                <w:rFonts w:ascii="宋体" w:hAnsi="宋体" w:cs="宋体" w:hint="eastAsia"/>
                <w:color w:val="000000"/>
                <w:kern w:val="0"/>
                <w:sz w:val="18"/>
                <w:szCs w:val="18"/>
              </w:rPr>
              <w:t>B</w:t>
            </w:r>
            <w:r>
              <w:rPr>
                <w:rFonts w:ascii="宋体" w:hAnsi="宋体" w:cs="宋体" w:hint="eastAsia"/>
                <w:color w:val="000000"/>
                <w:kern w:val="0"/>
                <w:sz w:val="18"/>
                <w:szCs w:val="18"/>
              </w:rPr>
              <w:t>）—年度指标值（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w:t>
            </w:r>
            <w:r>
              <w:rPr>
                <w:rFonts w:ascii="宋体" w:hAnsi="宋体" w:cs="宋体" w:hint="eastAsia"/>
                <w:color w:val="000000"/>
                <w:kern w:val="0"/>
                <w:sz w:val="18"/>
                <w:szCs w:val="18"/>
              </w:rPr>
              <w:t>年度指标值（</w:t>
            </w:r>
            <w:r>
              <w:rPr>
                <w:rFonts w:ascii="宋体" w:hAnsi="宋体" w:cs="宋体" w:hint="eastAsia"/>
                <w:color w:val="000000"/>
                <w:kern w:val="0"/>
                <w:sz w:val="18"/>
                <w:szCs w:val="18"/>
              </w:rPr>
              <w:t>A</w:t>
            </w:r>
            <w:r>
              <w:rPr>
                <w:rFonts w:ascii="宋体" w:hAnsi="宋体" w:cs="宋体" w:hint="eastAsia"/>
                <w:color w:val="000000"/>
                <w:kern w:val="0"/>
                <w:sz w:val="18"/>
                <w:szCs w:val="18"/>
              </w:rPr>
              <w:t>）</w:t>
            </w:r>
            <w:r>
              <w:rPr>
                <w:rFonts w:ascii="宋体" w:hAnsi="宋体" w:cs="宋体" w:hint="eastAsia"/>
                <w:color w:val="000000"/>
                <w:kern w:val="0"/>
                <w:sz w:val="18"/>
                <w:szCs w:val="18"/>
              </w:rPr>
              <w:t>*100%</w:t>
            </w:r>
            <w:r>
              <w:rPr>
                <w:rFonts w:ascii="宋体" w:hAnsi="宋体" w:cs="宋体" w:hint="eastAsia"/>
                <w:color w:val="000000"/>
                <w:kern w:val="0"/>
                <w:sz w:val="18"/>
                <w:szCs w:val="18"/>
              </w:rPr>
              <w:t>。若计算结果在</w:t>
            </w:r>
            <w:r>
              <w:rPr>
                <w:rFonts w:ascii="宋体" w:hAnsi="宋体" w:cs="宋体" w:hint="eastAsia"/>
                <w:color w:val="000000"/>
                <w:kern w:val="0"/>
                <w:sz w:val="18"/>
                <w:szCs w:val="18"/>
              </w:rPr>
              <w:t>200%-300%</w:t>
            </w:r>
            <w:r>
              <w:rPr>
                <w:rFonts w:ascii="宋体" w:hAnsi="宋体" w:cs="宋体" w:hint="eastAsia"/>
                <w:color w:val="000000"/>
                <w:kern w:val="0"/>
                <w:sz w:val="18"/>
                <w:szCs w:val="18"/>
              </w:rPr>
              <w:t>（含</w:t>
            </w:r>
            <w:r>
              <w:rPr>
                <w:rFonts w:ascii="宋体" w:hAnsi="宋体" w:cs="宋体" w:hint="eastAsia"/>
                <w:color w:val="000000"/>
                <w:kern w:val="0"/>
                <w:sz w:val="18"/>
                <w:szCs w:val="18"/>
              </w:rPr>
              <w:t>200%</w:t>
            </w:r>
            <w:r>
              <w:rPr>
                <w:rFonts w:ascii="宋体" w:hAnsi="宋体" w:cs="宋体" w:hint="eastAsia"/>
                <w:color w:val="000000"/>
                <w:kern w:val="0"/>
                <w:sz w:val="18"/>
                <w:szCs w:val="18"/>
              </w:rPr>
              <w:t>）区间，则按照该指标分值的</w:t>
            </w:r>
            <w:r>
              <w:rPr>
                <w:rFonts w:ascii="宋体" w:hAnsi="宋体" w:cs="宋体" w:hint="eastAsia"/>
                <w:color w:val="000000"/>
                <w:kern w:val="0"/>
                <w:sz w:val="18"/>
                <w:szCs w:val="18"/>
              </w:rPr>
              <w:t>10%</w:t>
            </w:r>
            <w:r>
              <w:rPr>
                <w:rFonts w:ascii="宋体" w:hAnsi="宋体" w:cs="宋体" w:hint="eastAsia"/>
                <w:color w:val="000000"/>
                <w:kern w:val="0"/>
                <w:sz w:val="18"/>
                <w:szCs w:val="18"/>
              </w:rPr>
              <w:t>扣分；计算结果在</w:t>
            </w:r>
            <w:r>
              <w:rPr>
                <w:rFonts w:ascii="宋体" w:hAnsi="宋体" w:cs="宋体" w:hint="eastAsia"/>
                <w:color w:val="000000"/>
                <w:kern w:val="0"/>
                <w:sz w:val="18"/>
                <w:szCs w:val="18"/>
              </w:rPr>
              <w:t>300%-500%</w:t>
            </w:r>
            <w:r>
              <w:rPr>
                <w:rFonts w:ascii="宋体" w:hAnsi="宋体" w:cs="宋体" w:hint="eastAsia"/>
                <w:color w:val="000000"/>
                <w:kern w:val="0"/>
                <w:sz w:val="18"/>
                <w:szCs w:val="18"/>
              </w:rPr>
              <w:t>（含</w:t>
            </w:r>
            <w:r>
              <w:rPr>
                <w:rFonts w:ascii="宋体" w:hAnsi="宋体" w:cs="宋体" w:hint="eastAsia"/>
                <w:color w:val="000000"/>
                <w:kern w:val="0"/>
                <w:sz w:val="18"/>
                <w:szCs w:val="18"/>
              </w:rPr>
              <w:t>300%</w:t>
            </w:r>
            <w:r>
              <w:rPr>
                <w:rFonts w:ascii="宋体" w:hAnsi="宋体" w:cs="宋体" w:hint="eastAsia"/>
                <w:color w:val="000000"/>
                <w:kern w:val="0"/>
                <w:sz w:val="18"/>
                <w:szCs w:val="18"/>
              </w:rPr>
              <w:t>）区间，则按照该指标分值的</w:t>
            </w:r>
            <w:r>
              <w:rPr>
                <w:rFonts w:ascii="宋体" w:hAnsi="宋体" w:cs="宋体" w:hint="eastAsia"/>
                <w:color w:val="000000"/>
                <w:kern w:val="0"/>
                <w:sz w:val="18"/>
                <w:szCs w:val="18"/>
              </w:rPr>
              <w:t>20%</w:t>
            </w:r>
            <w:r>
              <w:rPr>
                <w:rFonts w:ascii="宋体" w:hAnsi="宋体" w:cs="宋体" w:hint="eastAsia"/>
                <w:color w:val="000000"/>
                <w:kern w:val="0"/>
                <w:sz w:val="18"/>
                <w:szCs w:val="18"/>
              </w:rPr>
              <w:t>扣分；计算结果高于</w:t>
            </w:r>
            <w:r>
              <w:rPr>
                <w:rFonts w:ascii="宋体" w:hAnsi="宋体" w:cs="宋体" w:hint="eastAsia"/>
                <w:color w:val="000000"/>
                <w:kern w:val="0"/>
                <w:sz w:val="18"/>
                <w:szCs w:val="18"/>
              </w:rPr>
              <w:t>500%</w:t>
            </w:r>
            <w:r>
              <w:rPr>
                <w:rFonts w:ascii="宋体" w:hAnsi="宋体" w:cs="宋体" w:hint="eastAsia"/>
                <w:color w:val="000000"/>
                <w:kern w:val="0"/>
                <w:sz w:val="18"/>
                <w:szCs w:val="18"/>
              </w:rPr>
              <w:t>（含</w:t>
            </w:r>
            <w:r>
              <w:rPr>
                <w:rFonts w:ascii="宋体" w:hAnsi="宋体" w:cs="宋体" w:hint="eastAsia"/>
                <w:color w:val="000000"/>
                <w:kern w:val="0"/>
                <w:sz w:val="18"/>
                <w:szCs w:val="18"/>
              </w:rPr>
              <w:t>500%</w:t>
            </w:r>
            <w:r>
              <w:rPr>
                <w:rFonts w:ascii="宋体" w:hAnsi="宋体" w:cs="宋体" w:hint="eastAsia"/>
                <w:color w:val="000000"/>
                <w:kern w:val="0"/>
                <w:sz w:val="18"/>
                <w:szCs w:val="18"/>
              </w:rPr>
              <w:t>），则按照该指标分值的</w:t>
            </w:r>
            <w:r>
              <w:rPr>
                <w:rFonts w:ascii="宋体" w:hAnsi="宋体" w:cs="宋体" w:hint="eastAsia"/>
                <w:color w:val="000000"/>
                <w:kern w:val="0"/>
                <w:sz w:val="18"/>
                <w:szCs w:val="18"/>
              </w:rPr>
              <w:t>30%</w:t>
            </w:r>
            <w:r>
              <w:rPr>
                <w:rFonts w:ascii="宋体" w:hAnsi="宋体" w:cs="宋体" w:hint="eastAsia"/>
                <w:color w:val="000000"/>
                <w:kern w:val="0"/>
                <w:sz w:val="18"/>
                <w:szCs w:val="18"/>
              </w:rPr>
              <w:t>扣分。</w:t>
            </w:r>
          </w:p>
        </w:tc>
      </w:tr>
      <w:tr w:rsidR="00B04216">
        <w:trPr>
          <w:trHeight w:val="600"/>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single" w:sz="4" w:space="0" w:color="auto"/>
              <w:left w:val="single" w:sz="4" w:space="0" w:color="auto"/>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310"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rPr>
                <w:rFonts w:ascii="宋体" w:hAnsi="宋体" w:cs="宋体"/>
                <w:color w:val="000000"/>
                <w:kern w:val="0"/>
                <w:sz w:val="20"/>
                <w:szCs w:val="20"/>
              </w:rPr>
            </w:pPr>
            <w:r>
              <w:rPr>
                <w:rFonts w:ascii="宋体" w:hAnsi="宋体" w:cs="宋体" w:hint="eastAsia"/>
                <w:color w:val="000000"/>
                <w:kern w:val="0"/>
                <w:sz w:val="20"/>
                <w:szCs w:val="20"/>
              </w:rPr>
              <w:t>4011.33</w:t>
            </w:r>
            <w:r>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3905.23</w:t>
            </w:r>
          </w:p>
        </w:tc>
        <w:tc>
          <w:tcPr>
            <w:tcW w:w="284" w:type="pct"/>
            <w:gridSpan w:val="2"/>
            <w:vMerge w:val="restar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11"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11" w:type="pct"/>
            <w:gridSpan w:val="2"/>
            <w:vMerge/>
            <w:tcBorders>
              <w:top w:val="single" w:sz="4" w:space="0" w:color="auto"/>
              <w:left w:val="nil"/>
              <w:bottom w:val="single" w:sz="4" w:space="0" w:color="auto"/>
              <w:right w:val="nil"/>
            </w:tcBorders>
            <w:vAlign w:val="center"/>
          </w:tcPr>
          <w:p w:rsidR="00B04216" w:rsidRDefault="00B04216">
            <w:pPr>
              <w:widowControl/>
              <w:jc w:val="left"/>
              <w:rPr>
                <w:rFonts w:ascii="宋体" w:hAnsi="宋体" w:cs="宋体"/>
                <w:color w:val="000000"/>
                <w:kern w:val="0"/>
                <w:sz w:val="20"/>
                <w:szCs w:val="20"/>
              </w:rPr>
            </w:pPr>
          </w:p>
        </w:tc>
        <w:tc>
          <w:tcPr>
            <w:tcW w:w="1466"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96"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615"/>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single" w:sz="4" w:space="0" w:color="auto"/>
              <w:left w:val="single" w:sz="4" w:space="0" w:color="auto"/>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310"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616.75</w:t>
            </w:r>
          </w:p>
        </w:tc>
        <w:tc>
          <w:tcPr>
            <w:tcW w:w="347"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554.15</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11"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11" w:type="pct"/>
            <w:gridSpan w:val="2"/>
            <w:vMerge/>
            <w:tcBorders>
              <w:top w:val="single" w:sz="4" w:space="0" w:color="auto"/>
              <w:left w:val="nil"/>
              <w:bottom w:val="single" w:sz="4" w:space="0" w:color="auto"/>
              <w:right w:val="nil"/>
            </w:tcBorders>
            <w:vAlign w:val="center"/>
          </w:tcPr>
          <w:p w:rsidR="00B04216" w:rsidRDefault="00B04216">
            <w:pPr>
              <w:widowControl/>
              <w:jc w:val="left"/>
              <w:rPr>
                <w:rFonts w:ascii="宋体" w:hAnsi="宋体" w:cs="宋体"/>
                <w:color w:val="000000"/>
                <w:kern w:val="0"/>
                <w:sz w:val="20"/>
                <w:szCs w:val="20"/>
              </w:rPr>
            </w:pPr>
          </w:p>
        </w:tc>
        <w:tc>
          <w:tcPr>
            <w:tcW w:w="1466"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96"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1833"/>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310"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w:t>
            </w:r>
          </w:p>
        </w:tc>
        <w:tc>
          <w:tcPr>
            <w:tcW w:w="284"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11"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11" w:type="pct"/>
            <w:gridSpan w:val="2"/>
            <w:vMerge/>
            <w:tcBorders>
              <w:top w:val="single" w:sz="4" w:space="0" w:color="auto"/>
              <w:left w:val="nil"/>
              <w:bottom w:val="single" w:sz="4" w:space="0" w:color="auto"/>
              <w:right w:val="nil"/>
            </w:tcBorders>
            <w:vAlign w:val="center"/>
          </w:tcPr>
          <w:p w:rsidR="00B04216" w:rsidRDefault="00B04216">
            <w:pPr>
              <w:widowControl/>
              <w:jc w:val="left"/>
              <w:rPr>
                <w:rFonts w:ascii="宋体" w:hAnsi="宋体" w:cs="宋体"/>
                <w:color w:val="000000"/>
                <w:kern w:val="0"/>
                <w:sz w:val="20"/>
                <w:szCs w:val="20"/>
              </w:rPr>
            </w:pPr>
          </w:p>
        </w:tc>
        <w:tc>
          <w:tcPr>
            <w:tcW w:w="1466" w:type="pct"/>
            <w:gridSpan w:val="2"/>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96"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569"/>
        </w:trPr>
        <w:tc>
          <w:tcPr>
            <w:tcW w:w="5000" w:type="pct"/>
            <w:gridSpan w:val="16"/>
            <w:tcBorders>
              <w:top w:val="nil"/>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二</w:t>
            </w:r>
            <w:r>
              <w:rPr>
                <w:rFonts w:ascii="宋体" w:hAnsi="宋体" w:cs="宋体"/>
                <w:color w:val="000000"/>
                <w:kern w:val="0"/>
                <w:sz w:val="18"/>
                <w:szCs w:val="18"/>
              </w:rPr>
              <w:t>、</w:t>
            </w:r>
            <w:r>
              <w:rPr>
                <w:rFonts w:ascii="宋体" w:hAnsi="宋体" w:cs="宋体" w:hint="eastAsia"/>
                <w:color w:val="000000"/>
                <w:kern w:val="0"/>
                <w:sz w:val="20"/>
                <w:szCs w:val="20"/>
              </w:rPr>
              <w:t>整体绩</w:t>
            </w:r>
            <w:r>
              <w:rPr>
                <w:rFonts w:ascii="宋体" w:hAnsi="宋体" w:cs="宋体" w:hint="eastAsia"/>
                <w:color w:val="000000"/>
                <w:kern w:val="0"/>
                <w:sz w:val="20"/>
                <w:szCs w:val="20"/>
              </w:rPr>
              <w:t>效目标实现情况（</w:t>
            </w:r>
            <w:r>
              <w:rPr>
                <w:rFonts w:ascii="宋体" w:hAnsi="宋体" w:cs="宋体" w:hint="eastAsia"/>
                <w:color w:val="000000"/>
                <w:kern w:val="0"/>
                <w:sz w:val="20"/>
                <w:szCs w:val="20"/>
              </w:rPr>
              <w:t>60</w:t>
            </w:r>
            <w:r>
              <w:rPr>
                <w:rFonts w:ascii="宋体" w:hAnsi="宋体" w:cs="宋体" w:hint="eastAsia"/>
                <w:color w:val="000000"/>
                <w:kern w:val="0"/>
                <w:sz w:val="20"/>
                <w:szCs w:val="20"/>
              </w:rPr>
              <w:t>分）</w:t>
            </w:r>
          </w:p>
        </w:tc>
      </w:tr>
      <w:tr w:rsidR="00B04216">
        <w:trPr>
          <w:trHeight w:val="499"/>
        </w:trPr>
        <w:tc>
          <w:tcPr>
            <w:tcW w:w="331"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44"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273"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76" w:type="pct"/>
            <w:gridSpan w:val="4"/>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239"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144"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192" w:type="pct"/>
            <w:gridSpan w:val="2"/>
            <w:tcBorders>
              <w:top w:val="single" w:sz="4" w:space="0" w:color="auto"/>
              <w:left w:val="nil"/>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438"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464"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B04216">
        <w:trPr>
          <w:trHeight w:val="1196"/>
        </w:trPr>
        <w:tc>
          <w:tcPr>
            <w:tcW w:w="331" w:type="pct"/>
            <w:vMerge w:val="restar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w:t>
            </w:r>
            <w:r>
              <w:rPr>
                <w:rFonts w:ascii="宋体" w:hAnsi="宋体" w:cs="宋体" w:hint="eastAsia"/>
                <w:color w:val="000000"/>
                <w:kern w:val="0"/>
                <w:sz w:val="20"/>
                <w:szCs w:val="20"/>
              </w:rPr>
              <w:t>60</w:t>
            </w:r>
            <w:r>
              <w:rPr>
                <w:rFonts w:ascii="宋体" w:hAnsi="宋体" w:cs="宋体" w:hint="eastAsia"/>
                <w:color w:val="000000"/>
                <w:kern w:val="0"/>
                <w:sz w:val="20"/>
                <w:szCs w:val="20"/>
              </w:rPr>
              <w:t>）</w:t>
            </w:r>
          </w:p>
        </w:tc>
        <w:tc>
          <w:tcPr>
            <w:tcW w:w="344" w:type="pct"/>
            <w:vMerge w:val="restart"/>
            <w:tcBorders>
              <w:top w:val="single" w:sz="4" w:space="0" w:color="auto"/>
              <w:left w:val="nil"/>
              <w:right w:val="single" w:sz="4" w:space="0" w:color="auto"/>
            </w:tcBorders>
            <w:vAlign w:val="center"/>
          </w:tcPr>
          <w:p w:rsidR="00B04216" w:rsidRDefault="00B04216">
            <w:pPr>
              <w:widowControl/>
              <w:jc w:val="center"/>
              <w:rPr>
                <w:rFonts w:ascii="宋体" w:hAnsi="宋体" w:cs="宋体"/>
                <w:color w:val="000000"/>
                <w:kern w:val="0"/>
                <w:sz w:val="20"/>
                <w:szCs w:val="20"/>
              </w:rPr>
            </w:pPr>
          </w:p>
          <w:p w:rsidR="00B04216" w:rsidRDefault="00A8438D">
            <w:pPr>
              <w:jc w:val="center"/>
              <w:rPr>
                <w:rFonts w:ascii="宋体" w:hAnsi="宋体" w:cs="宋体"/>
                <w:color w:val="000000"/>
                <w:kern w:val="0"/>
                <w:sz w:val="20"/>
                <w:szCs w:val="20"/>
              </w:rPr>
            </w:pPr>
            <w:r>
              <w:rPr>
                <w:rFonts w:ascii="宋体" w:hAnsi="宋体" w:cs="宋体" w:hint="eastAsia"/>
                <w:color w:val="000000"/>
                <w:kern w:val="0"/>
                <w:sz w:val="20"/>
                <w:szCs w:val="20"/>
              </w:rPr>
              <w:t>产出（</w:t>
            </w:r>
            <w:r>
              <w:rPr>
                <w:rFonts w:ascii="宋体" w:hAnsi="宋体" w:cs="宋体" w:hint="eastAsia"/>
                <w:color w:val="000000"/>
                <w:kern w:val="0"/>
                <w:sz w:val="20"/>
                <w:szCs w:val="20"/>
              </w:rPr>
              <w:t>30</w:t>
            </w:r>
            <w:r>
              <w:rPr>
                <w:rFonts w:ascii="宋体" w:hAnsi="宋体" w:cs="宋体" w:hint="eastAsia"/>
                <w:color w:val="000000"/>
                <w:kern w:val="0"/>
                <w:sz w:val="20"/>
                <w:szCs w:val="20"/>
              </w:rPr>
              <w:t>）</w:t>
            </w:r>
          </w:p>
        </w:tc>
        <w:tc>
          <w:tcPr>
            <w:tcW w:w="273" w:type="pct"/>
            <w:tcBorders>
              <w:top w:val="single" w:sz="4" w:space="0" w:color="auto"/>
              <w:left w:val="nil"/>
              <w:bottom w:val="single" w:sz="4" w:space="0" w:color="auto"/>
              <w:right w:val="single" w:sz="4" w:space="0" w:color="auto"/>
            </w:tcBorders>
            <w:vAlign w:val="center"/>
          </w:tcPr>
          <w:p w:rsidR="00B04216" w:rsidRDefault="00B04216">
            <w:pPr>
              <w:widowControl/>
              <w:jc w:val="center"/>
              <w:rPr>
                <w:rFonts w:ascii="宋体" w:hAnsi="宋体" w:cs="宋体"/>
                <w:color w:val="000000"/>
                <w:kern w:val="0"/>
                <w:sz w:val="18"/>
                <w:szCs w:val="18"/>
              </w:rPr>
            </w:pPr>
          </w:p>
          <w:p w:rsidR="00B04216" w:rsidRDefault="00A8438D">
            <w:pPr>
              <w:jc w:val="center"/>
              <w:rPr>
                <w:rFonts w:ascii="宋体" w:hAnsi="宋体" w:cs="宋体"/>
                <w:color w:val="000000"/>
                <w:kern w:val="0"/>
                <w:sz w:val="18"/>
                <w:szCs w:val="18"/>
              </w:rPr>
            </w:pPr>
            <w:r>
              <w:rPr>
                <w:rFonts w:ascii="宋体" w:hAnsi="宋体" w:cs="宋体" w:hint="eastAsia"/>
                <w:color w:val="000000"/>
                <w:kern w:val="0"/>
                <w:sz w:val="18"/>
                <w:szCs w:val="18"/>
              </w:rPr>
              <w:t>市级重点课题</w:t>
            </w:r>
          </w:p>
        </w:tc>
        <w:tc>
          <w:tcPr>
            <w:tcW w:w="576" w:type="pct"/>
            <w:gridSpan w:val="4"/>
            <w:tcBorders>
              <w:top w:val="single" w:sz="4" w:space="0" w:color="auto"/>
              <w:left w:val="nil"/>
              <w:bottom w:val="single" w:sz="4" w:space="0" w:color="auto"/>
              <w:right w:val="single" w:sz="4" w:space="0" w:color="auto"/>
            </w:tcBorders>
            <w:vAlign w:val="center"/>
          </w:tcPr>
          <w:p w:rsidR="00B04216" w:rsidRDefault="00A8438D">
            <w:pPr>
              <w:jc w:val="center"/>
              <w:rPr>
                <w:rFonts w:ascii="宋体" w:hAnsi="宋体" w:cs="宋体"/>
                <w:color w:val="000000"/>
                <w:kern w:val="0"/>
                <w:sz w:val="18"/>
                <w:szCs w:val="18"/>
              </w:rPr>
            </w:pPr>
            <w:r>
              <w:rPr>
                <w:rFonts w:ascii="宋体" w:hAnsi="宋体" w:cs="宋体" w:hint="eastAsia"/>
                <w:color w:val="000000"/>
                <w:kern w:val="0"/>
                <w:sz w:val="18"/>
                <w:szCs w:val="18"/>
              </w:rPr>
              <w:t>围绕中央单位委托开展课题和北京市市级重点课题开展研究</w:t>
            </w:r>
          </w:p>
        </w:tc>
        <w:tc>
          <w:tcPr>
            <w:tcW w:w="239" w:type="pct"/>
            <w:gridSpan w:val="2"/>
            <w:tcBorders>
              <w:top w:val="single" w:sz="4" w:space="0" w:color="auto"/>
              <w:left w:val="nil"/>
              <w:bottom w:val="single" w:sz="4" w:space="0" w:color="auto"/>
              <w:right w:val="single" w:sz="4" w:space="0" w:color="auto"/>
            </w:tcBorders>
            <w:vAlign w:val="center"/>
          </w:tcPr>
          <w:p w:rsidR="00B04216" w:rsidRDefault="00B04216">
            <w:pPr>
              <w:widowControl/>
              <w:jc w:val="center"/>
              <w:rPr>
                <w:rFonts w:ascii="宋体" w:hAnsi="宋体" w:cs="宋体"/>
                <w:color w:val="000000"/>
                <w:kern w:val="0"/>
                <w:sz w:val="18"/>
                <w:szCs w:val="18"/>
              </w:rPr>
            </w:pPr>
          </w:p>
          <w:p w:rsidR="00B04216" w:rsidRDefault="00A8438D">
            <w:pPr>
              <w:jc w:val="center"/>
              <w:rPr>
                <w:rFonts w:ascii="宋体" w:hAnsi="宋体" w:cs="宋体"/>
                <w:color w:val="000000"/>
                <w:kern w:val="0"/>
                <w:sz w:val="18"/>
                <w:szCs w:val="18"/>
              </w:rPr>
            </w:pPr>
            <w:r>
              <w:rPr>
                <w:rFonts w:ascii="宋体" w:hAnsi="宋体" w:cs="宋体" w:hint="eastAsia"/>
                <w:color w:val="000000"/>
                <w:kern w:val="0"/>
                <w:sz w:val="18"/>
                <w:szCs w:val="18"/>
              </w:rPr>
              <w:t xml:space="preserve">完成　</w:t>
            </w:r>
          </w:p>
        </w:tc>
        <w:tc>
          <w:tcPr>
            <w:tcW w:w="144" w:type="pct"/>
            <w:gridSpan w:val="2"/>
            <w:vMerge w:val="restart"/>
            <w:tcBorders>
              <w:top w:val="single" w:sz="4" w:space="0" w:color="auto"/>
              <w:left w:val="nil"/>
              <w:bottom w:val="single" w:sz="4" w:space="0" w:color="auto"/>
              <w:right w:val="single" w:sz="4" w:space="0" w:color="auto"/>
            </w:tcBorders>
            <w:vAlign w:val="center"/>
          </w:tcPr>
          <w:p w:rsidR="00B04216" w:rsidRDefault="00B04216">
            <w:pPr>
              <w:widowControl/>
              <w:jc w:val="center"/>
              <w:rPr>
                <w:rFonts w:ascii="宋体" w:hAnsi="宋体" w:cs="宋体"/>
                <w:color w:val="000000"/>
                <w:kern w:val="0"/>
                <w:sz w:val="20"/>
                <w:szCs w:val="20"/>
              </w:rPr>
            </w:pPr>
          </w:p>
          <w:p w:rsidR="00B04216" w:rsidRDefault="00A8438D">
            <w:pPr>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192" w:type="pct"/>
            <w:gridSpan w:val="2"/>
            <w:tcBorders>
              <w:top w:val="single" w:sz="4" w:space="0" w:color="auto"/>
              <w:left w:val="nil"/>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p w:rsidR="00B04216" w:rsidRDefault="00A8438D">
            <w:pPr>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38" w:type="pct"/>
            <w:gridSpan w:val="2"/>
            <w:vMerge w:val="restar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w:t>
            </w:r>
            <w:r>
              <w:rPr>
                <w:rFonts w:ascii="宋体" w:hAnsi="宋体" w:cs="宋体" w:hint="eastAsia"/>
                <w:color w:val="000000"/>
                <w:kern w:val="0"/>
                <w:sz w:val="18"/>
                <w:szCs w:val="18"/>
              </w:rPr>
              <w:t>=</w:t>
            </w:r>
            <w:r>
              <w:rPr>
                <w:rFonts w:ascii="宋体" w:hAnsi="宋体" w:cs="宋体" w:hint="eastAsia"/>
                <w:color w:val="000000"/>
                <w:kern w:val="0"/>
                <w:sz w:val="18"/>
                <w:szCs w:val="18"/>
              </w:rPr>
              <w:t>（实际完成工作数</w:t>
            </w:r>
            <w:r>
              <w:rPr>
                <w:rFonts w:ascii="宋体" w:hAnsi="宋体" w:cs="宋体" w:hint="eastAsia"/>
                <w:color w:val="000000"/>
                <w:kern w:val="0"/>
                <w:sz w:val="18"/>
                <w:szCs w:val="18"/>
              </w:rPr>
              <w:t>/</w:t>
            </w:r>
            <w:r>
              <w:rPr>
                <w:rFonts w:ascii="宋体" w:hAnsi="宋体" w:cs="宋体" w:hint="eastAsia"/>
                <w:color w:val="000000"/>
                <w:kern w:val="0"/>
                <w:sz w:val="18"/>
                <w:szCs w:val="18"/>
              </w:rPr>
              <w:t>计划工作数）×</w:t>
            </w:r>
            <w:r>
              <w:rPr>
                <w:rFonts w:ascii="宋体" w:hAnsi="宋体" w:cs="宋体" w:hint="eastAsia"/>
                <w:color w:val="000000"/>
                <w:kern w:val="0"/>
                <w:sz w:val="18"/>
                <w:szCs w:val="18"/>
              </w:rPr>
              <w:t>100%</w:t>
            </w:r>
            <w:r>
              <w:rPr>
                <w:rFonts w:ascii="宋体" w:hAnsi="宋体" w:cs="宋体" w:hint="eastAsia"/>
                <w:color w:val="000000"/>
                <w:kern w:val="0"/>
                <w:sz w:val="18"/>
                <w:szCs w:val="18"/>
              </w:rPr>
              <w:t>。实际完成工作数：一定时期（年度或规划期）内部门（单位）实际完成工作任务的数量。计划工作数：部门（单位）整体绩效目标确定的一定时期（年度或规划期）内预计完成工作任务的数量。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w:t>
            </w:r>
            <w:r>
              <w:rPr>
                <w:rFonts w:ascii="宋体" w:hAnsi="宋体" w:cs="宋体" w:hint="eastAsia"/>
                <w:color w:val="000000"/>
                <w:kern w:val="0"/>
                <w:sz w:val="18"/>
                <w:szCs w:val="18"/>
              </w:rPr>
              <w:t>=</w:t>
            </w:r>
            <w:r>
              <w:rPr>
                <w:rFonts w:ascii="宋体" w:hAnsi="宋体" w:cs="宋体" w:hint="eastAsia"/>
                <w:color w:val="000000"/>
                <w:kern w:val="0"/>
                <w:sz w:val="18"/>
                <w:szCs w:val="18"/>
              </w:rPr>
              <w:t>质量达标工作数</w:t>
            </w:r>
            <w:r>
              <w:rPr>
                <w:rFonts w:ascii="宋体" w:hAnsi="宋体" w:cs="宋体" w:hint="eastAsia"/>
                <w:color w:val="000000"/>
                <w:kern w:val="0"/>
                <w:sz w:val="18"/>
                <w:szCs w:val="18"/>
              </w:rPr>
              <w:t>/</w:t>
            </w:r>
            <w:r>
              <w:rPr>
                <w:rFonts w:ascii="宋体" w:hAnsi="宋体" w:cs="宋体" w:hint="eastAsia"/>
                <w:color w:val="000000"/>
                <w:kern w:val="0"/>
                <w:sz w:val="18"/>
                <w:szCs w:val="18"/>
              </w:rPr>
              <w:t>实际完成工作数×</w:t>
            </w:r>
            <w:r>
              <w:rPr>
                <w:rFonts w:ascii="宋体" w:hAnsi="宋体" w:cs="宋体" w:hint="eastAsia"/>
                <w:color w:val="000000"/>
                <w:kern w:val="0"/>
                <w:sz w:val="18"/>
                <w:szCs w:val="18"/>
              </w:rPr>
              <w:t>100%</w:t>
            </w:r>
            <w:r>
              <w:rPr>
                <w:rFonts w:ascii="宋体" w:hAnsi="宋体" w:cs="宋体" w:hint="eastAsia"/>
                <w:color w:val="000000"/>
                <w:kern w:val="0"/>
                <w:sz w:val="18"/>
                <w:szCs w:val="18"/>
              </w:rPr>
              <w:t>。质量达标工作数：一定时期（年度或规划期）内部门（单位）实际完成工作数中达到部门绩效目标要求（绩效标准值）的工作任务数量。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w:t>
            </w:r>
            <w:r>
              <w:rPr>
                <w:rFonts w:ascii="宋体" w:hAnsi="宋体" w:cs="宋体" w:hint="eastAsia"/>
                <w:color w:val="000000"/>
                <w:kern w:val="0"/>
                <w:sz w:val="18"/>
                <w:szCs w:val="18"/>
              </w:rPr>
              <w:t>=</w:t>
            </w:r>
            <w:r>
              <w:rPr>
                <w:rFonts w:ascii="宋体" w:hAnsi="宋体" w:cs="宋体" w:hint="eastAsia"/>
                <w:color w:val="000000"/>
                <w:kern w:val="0"/>
                <w:sz w:val="18"/>
                <w:szCs w:val="18"/>
              </w:rPr>
              <w:t>（按时完成工作数</w:t>
            </w:r>
            <w:r>
              <w:rPr>
                <w:rFonts w:ascii="宋体" w:hAnsi="宋体" w:cs="宋体" w:hint="eastAsia"/>
                <w:color w:val="000000"/>
                <w:kern w:val="0"/>
                <w:sz w:val="18"/>
                <w:szCs w:val="18"/>
              </w:rPr>
              <w:t>/</w:t>
            </w:r>
            <w:r>
              <w:rPr>
                <w:rFonts w:ascii="宋体" w:hAnsi="宋体" w:cs="宋体" w:hint="eastAsia"/>
                <w:color w:val="000000"/>
                <w:kern w:val="0"/>
                <w:sz w:val="18"/>
                <w:szCs w:val="18"/>
              </w:rPr>
              <w:t>实际完成工作数）×</w:t>
            </w:r>
            <w:r>
              <w:rPr>
                <w:rFonts w:ascii="宋体" w:hAnsi="宋体" w:cs="宋体" w:hint="eastAsia"/>
                <w:color w:val="000000"/>
                <w:kern w:val="0"/>
                <w:sz w:val="18"/>
                <w:szCs w:val="18"/>
              </w:rPr>
              <w:t>100%</w:t>
            </w:r>
            <w:r>
              <w:rPr>
                <w:rFonts w:ascii="宋体" w:hAnsi="宋体" w:cs="宋体" w:hint="eastAsia"/>
                <w:color w:val="000000"/>
                <w:kern w:val="0"/>
                <w:sz w:val="18"/>
                <w:szCs w:val="18"/>
              </w:rPr>
              <w:t>。按时完成工作数：部门（单位）按照整体绩效目标确定的时限实际完成的工作任务数量。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464" w:type="pct"/>
            <w:vMerge w:val="restar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w:t>
            </w:r>
            <w:r>
              <w:rPr>
                <w:rFonts w:ascii="宋体" w:hAnsi="宋体" w:cs="宋体" w:hint="eastAsia"/>
                <w:color w:val="000000"/>
                <w:kern w:val="0"/>
                <w:sz w:val="18"/>
                <w:szCs w:val="18"/>
              </w:rPr>
              <w:t>率</w:t>
            </w:r>
            <w:r>
              <w:rPr>
                <w:rFonts w:ascii="宋体" w:hAnsi="宋体" w:cs="宋体" w:hint="eastAsia"/>
                <w:color w:val="000000"/>
                <w:kern w:val="0"/>
                <w:sz w:val="18"/>
                <w:szCs w:val="18"/>
              </w:rPr>
              <w:t>*</w:t>
            </w:r>
            <w:r>
              <w:rPr>
                <w:rFonts w:ascii="宋体" w:hAnsi="宋体" w:cs="宋体" w:hint="eastAsia"/>
                <w:color w:val="000000"/>
                <w:kern w:val="0"/>
                <w:sz w:val="18"/>
                <w:szCs w:val="18"/>
              </w:rPr>
              <w:t>单项指标分值即为该指标得分。如果不能定量评价，则以定性的方式进行自评。</w:t>
            </w:r>
          </w:p>
        </w:tc>
      </w:tr>
      <w:tr w:rsidR="00B04216">
        <w:trPr>
          <w:trHeight w:val="1130"/>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left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改革督察第三方评估</w:t>
            </w:r>
          </w:p>
        </w:tc>
        <w:tc>
          <w:tcPr>
            <w:tcW w:w="576" w:type="pct"/>
            <w:gridSpan w:val="4"/>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对全市改革出台的新政策效果进行社会评估，每年评估改革项目不少于</w:t>
            </w:r>
            <w:r>
              <w:rPr>
                <w:rFonts w:ascii="宋体" w:hAnsi="宋体" w:cs="宋体" w:hint="eastAsia"/>
                <w:color w:val="000000"/>
                <w:kern w:val="0"/>
                <w:sz w:val="18"/>
                <w:szCs w:val="18"/>
              </w:rPr>
              <w:t>6</w:t>
            </w:r>
            <w:r>
              <w:rPr>
                <w:rFonts w:ascii="宋体" w:hAnsi="宋体" w:cs="宋体" w:hint="eastAsia"/>
                <w:color w:val="000000"/>
                <w:kern w:val="0"/>
                <w:sz w:val="18"/>
                <w:szCs w:val="18"/>
              </w:rPr>
              <w:t>个</w:t>
            </w:r>
          </w:p>
        </w:tc>
        <w:tc>
          <w:tcPr>
            <w:tcW w:w="239"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w:t>
            </w:r>
          </w:p>
        </w:tc>
        <w:tc>
          <w:tcPr>
            <w:tcW w:w="144" w:type="pct"/>
            <w:gridSpan w:val="2"/>
            <w:vMerge/>
            <w:tcBorders>
              <w:top w:val="single" w:sz="4" w:space="0" w:color="auto"/>
              <w:left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single" w:sz="4" w:space="0" w:color="auto"/>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r>
              <w:rPr>
                <w:rFonts w:ascii="宋体" w:hAnsi="宋体" w:cs="宋体" w:hint="eastAsia"/>
                <w:color w:val="000000"/>
                <w:kern w:val="0"/>
                <w:sz w:val="20"/>
                <w:szCs w:val="20"/>
              </w:rPr>
              <w:t xml:space="preserve">　</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1258"/>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left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印发改革简报、改革督察、改革情况交流、</w:t>
            </w:r>
            <w:r>
              <w:rPr>
                <w:rFonts w:ascii="宋体" w:hAnsi="宋体" w:cs="宋体" w:hint="eastAsia"/>
                <w:color w:val="000000"/>
                <w:kern w:val="0"/>
                <w:sz w:val="18"/>
                <w:szCs w:val="18"/>
              </w:rPr>
              <w:lastRenderedPageBreak/>
              <w:t>改革专报</w:t>
            </w:r>
          </w:p>
        </w:tc>
        <w:tc>
          <w:tcPr>
            <w:tcW w:w="576" w:type="pct"/>
            <w:gridSpan w:val="4"/>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编辑刊发《改革督察情况》《改革调研报告》《改革情况交流》等刊物不少于</w:t>
            </w:r>
            <w:r>
              <w:rPr>
                <w:rFonts w:ascii="宋体" w:hAnsi="宋体" w:cs="宋体" w:hint="eastAsia"/>
                <w:color w:val="000000"/>
                <w:kern w:val="0"/>
                <w:sz w:val="18"/>
                <w:szCs w:val="18"/>
              </w:rPr>
              <w:t>60</w:t>
            </w:r>
            <w:r>
              <w:rPr>
                <w:rFonts w:ascii="宋体" w:hAnsi="宋体" w:cs="宋体" w:hint="eastAsia"/>
                <w:color w:val="000000"/>
                <w:kern w:val="0"/>
                <w:sz w:val="18"/>
                <w:szCs w:val="18"/>
              </w:rPr>
              <w:t>期。组织各领域专家开展改革问题咨询会</w:t>
            </w:r>
            <w:r>
              <w:rPr>
                <w:rFonts w:ascii="宋体" w:hAnsi="宋体" w:cs="宋体" w:hint="eastAsia"/>
                <w:color w:val="000000"/>
                <w:kern w:val="0"/>
                <w:sz w:val="18"/>
                <w:szCs w:val="18"/>
              </w:rPr>
              <w:lastRenderedPageBreak/>
              <w:t>议不少于</w:t>
            </w:r>
            <w:r>
              <w:rPr>
                <w:rFonts w:ascii="宋体" w:hAnsi="宋体" w:cs="宋体" w:hint="eastAsia"/>
                <w:color w:val="000000"/>
                <w:kern w:val="0"/>
                <w:sz w:val="18"/>
                <w:szCs w:val="18"/>
              </w:rPr>
              <w:t>20</w:t>
            </w:r>
            <w:r>
              <w:rPr>
                <w:rFonts w:ascii="宋体" w:hAnsi="宋体" w:cs="宋体" w:hint="eastAsia"/>
                <w:color w:val="000000"/>
                <w:kern w:val="0"/>
                <w:sz w:val="18"/>
                <w:szCs w:val="18"/>
              </w:rPr>
              <w:t>批次。</w:t>
            </w: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完成</w:t>
            </w:r>
          </w:p>
        </w:tc>
        <w:tc>
          <w:tcPr>
            <w:tcW w:w="144" w:type="pct"/>
            <w:gridSpan w:val="2"/>
            <w:vMerge/>
            <w:tcBorders>
              <w:left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1258"/>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left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图书馆资料数据库更新</w:t>
            </w:r>
          </w:p>
        </w:tc>
        <w:tc>
          <w:tcPr>
            <w:tcW w:w="576" w:type="pct"/>
            <w:gridSpan w:val="4"/>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料数据库每年需要进行</w:t>
            </w:r>
            <w:r>
              <w:rPr>
                <w:rFonts w:ascii="宋体" w:hAnsi="宋体" w:cs="宋体" w:hint="eastAsia"/>
                <w:color w:val="000000"/>
                <w:kern w:val="0"/>
                <w:sz w:val="18"/>
                <w:szCs w:val="18"/>
              </w:rPr>
              <w:t>3</w:t>
            </w:r>
            <w:r>
              <w:rPr>
                <w:rFonts w:ascii="宋体" w:hAnsi="宋体" w:cs="宋体" w:hint="eastAsia"/>
                <w:color w:val="000000"/>
                <w:kern w:val="0"/>
                <w:sz w:val="18"/>
                <w:szCs w:val="18"/>
              </w:rPr>
              <w:t>次数据更新</w:t>
            </w: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w:t>
            </w:r>
          </w:p>
        </w:tc>
        <w:tc>
          <w:tcPr>
            <w:tcW w:w="144" w:type="pct"/>
            <w:gridSpan w:val="2"/>
            <w:vMerge/>
            <w:tcBorders>
              <w:left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r>
              <w:rPr>
                <w:rFonts w:ascii="宋体" w:hAnsi="宋体" w:cs="宋体" w:hint="eastAsia"/>
                <w:color w:val="000000"/>
                <w:kern w:val="0"/>
                <w:sz w:val="20"/>
                <w:szCs w:val="20"/>
              </w:rPr>
              <w:t xml:space="preserve">　</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975"/>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vAlign w:val="center"/>
          </w:tcPr>
          <w:p w:rsidR="00B04216" w:rsidRDefault="00A8438D">
            <w:pPr>
              <w:widowControl/>
              <w:rPr>
                <w:rFonts w:ascii="宋体" w:hAnsi="宋体" w:cs="宋体"/>
                <w:color w:val="000000"/>
                <w:kern w:val="0"/>
                <w:sz w:val="18"/>
                <w:szCs w:val="18"/>
              </w:rPr>
            </w:pPr>
            <w:r>
              <w:rPr>
                <w:rFonts w:ascii="宋体" w:hAnsi="宋体" w:cs="宋体" w:hint="eastAsia"/>
                <w:color w:val="000000"/>
                <w:kern w:val="0"/>
                <w:sz w:val="18"/>
                <w:szCs w:val="18"/>
              </w:rPr>
              <w:t>《北京健康城市建设研究</w:t>
            </w:r>
            <w:r>
              <w:rPr>
                <w:rFonts w:ascii="宋体" w:hAnsi="宋体" w:cs="宋体" w:hint="eastAsia"/>
                <w:color w:val="000000"/>
                <w:kern w:val="0"/>
                <w:sz w:val="18"/>
                <w:szCs w:val="18"/>
              </w:rPr>
              <w:t>2021</w:t>
            </w:r>
            <w:r>
              <w:rPr>
                <w:rFonts w:ascii="宋体" w:hAnsi="宋体" w:cs="宋体" w:hint="eastAsia"/>
                <w:color w:val="000000"/>
                <w:kern w:val="0"/>
                <w:sz w:val="18"/>
                <w:szCs w:val="18"/>
              </w:rPr>
              <w:t>》</w:t>
            </w:r>
          </w:p>
        </w:tc>
        <w:tc>
          <w:tcPr>
            <w:tcW w:w="576" w:type="pct"/>
            <w:gridSpan w:val="4"/>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编辑并出版《北京健康城市建设研究</w:t>
            </w:r>
            <w:r>
              <w:rPr>
                <w:rFonts w:ascii="宋体" w:hAnsi="宋体" w:cs="宋体" w:hint="eastAsia"/>
                <w:color w:val="000000"/>
                <w:kern w:val="0"/>
                <w:sz w:val="18"/>
                <w:szCs w:val="18"/>
              </w:rPr>
              <w:t>2021</w:t>
            </w:r>
            <w:r>
              <w:rPr>
                <w:rFonts w:ascii="宋体" w:hAnsi="宋体" w:cs="宋体" w:hint="eastAsia"/>
                <w:color w:val="000000"/>
                <w:kern w:val="0"/>
                <w:sz w:val="18"/>
                <w:szCs w:val="18"/>
              </w:rPr>
              <w:t>》书籍</w:t>
            </w: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w:t>
            </w:r>
          </w:p>
        </w:tc>
        <w:tc>
          <w:tcPr>
            <w:tcW w:w="144" w:type="pct"/>
            <w:gridSpan w:val="2"/>
            <w:vMerge/>
            <w:tcBorders>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975"/>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vAlign w:val="center"/>
          </w:tcPr>
          <w:p w:rsidR="00B04216" w:rsidRDefault="00A8438D">
            <w:pPr>
              <w:widowControl/>
              <w:rPr>
                <w:rFonts w:ascii="宋体" w:hAnsi="宋体" w:cs="宋体"/>
                <w:color w:val="000000"/>
                <w:kern w:val="0"/>
                <w:sz w:val="18"/>
                <w:szCs w:val="18"/>
              </w:rPr>
            </w:pPr>
            <w:r>
              <w:rPr>
                <w:rFonts w:ascii="宋体" w:hAnsi="宋体" w:cs="宋体" w:hint="eastAsia"/>
                <w:color w:val="000000"/>
                <w:kern w:val="0"/>
                <w:sz w:val="18"/>
                <w:szCs w:val="18"/>
              </w:rPr>
              <w:t>《北京调研》《决策参考》</w:t>
            </w:r>
          </w:p>
        </w:tc>
        <w:tc>
          <w:tcPr>
            <w:tcW w:w="576" w:type="pct"/>
            <w:gridSpan w:val="4"/>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编辑出版《北京调研》</w:t>
            </w:r>
            <w:r>
              <w:rPr>
                <w:rFonts w:ascii="宋体" w:hAnsi="宋体" w:cs="宋体" w:hint="eastAsia"/>
                <w:color w:val="000000"/>
                <w:kern w:val="0"/>
                <w:sz w:val="18"/>
                <w:szCs w:val="18"/>
              </w:rPr>
              <w:t>12</w:t>
            </w:r>
            <w:r>
              <w:rPr>
                <w:rFonts w:ascii="宋体" w:hAnsi="宋体" w:cs="宋体" w:hint="eastAsia"/>
                <w:color w:val="000000"/>
                <w:kern w:val="0"/>
                <w:sz w:val="18"/>
                <w:szCs w:val="18"/>
              </w:rPr>
              <w:t>期，决策参考</w:t>
            </w:r>
            <w:r>
              <w:rPr>
                <w:rFonts w:ascii="宋体" w:hAnsi="宋体" w:cs="宋体" w:hint="eastAsia"/>
                <w:color w:val="000000"/>
                <w:kern w:val="0"/>
                <w:sz w:val="18"/>
                <w:szCs w:val="18"/>
              </w:rPr>
              <w:t>40</w:t>
            </w:r>
            <w:r>
              <w:rPr>
                <w:rFonts w:ascii="宋体" w:hAnsi="宋体" w:cs="宋体" w:hint="eastAsia"/>
                <w:color w:val="000000"/>
                <w:kern w:val="0"/>
                <w:sz w:val="18"/>
                <w:szCs w:val="18"/>
              </w:rPr>
              <w:t>期</w:t>
            </w: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w:t>
            </w:r>
          </w:p>
        </w:tc>
        <w:tc>
          <w:tcPr>
            <w:tcW w:w="144" w:type="pct"/>
            <w:gridSpan w:val="2"/>
            <w:vMerge/>
            <w:tcBorders>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r>
              <w:rPr>
                <w:rFonts w:ascii="宋体" w:hAnsi="宋体" w:cs="宋体" w:hint="eastAsia"/>
                <w:color w:val="000000"/>
                <w:kern w:val="0"/>
                <w:sz w:val="20"/>
                <w:szCs w:val="20"/>
              </w:rPr>
              <w:t xml:space="preserve">　</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675"/>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val="restart"/>
            <w:tcBorders>
              <w:top w:val="nil"/>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w:t>
            </w:r>
            <w:r>
              <w:rPr>
                <w:rFonts w:ascii="宋体" w:hAnsi="宋体" w:cs="宋体" w:hint="eastAsia"/>
                <w:color w:val="000000"/>
                <w:kern w:val="0"/>
                <w:sz w:val="20"/>
                <w:szCs w:val="20"/>
              </w:rPr>
              <w:t>30</w:t>
            </w:r>
            <w:r>
              <w:rPr>
                <w:rFonts w:ascii="宋体" w:hAnsi="宋体" w:cs="宋体" w:hint="eastAsia"/>
                <w:color w:val="000000"/>
                <w:kern w:val="0"/>
                <w:sz w:val="20"/>
                <w:szCs w:val="20"/>
              </w:rPr>
              <w:t>）</w:t>
            </w:r>
          </w:p>
        </w:tc>
        <w:tc>
          <w:tcPr>
            <w:tcW w:w="273" w:type="pct"/>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hint="eastAsia"/>
                <w:color w:val="000000"/>
                <w:kern w:val="0"/>
                <w:sz w:val="20"/>
                <w:szCs w:val="20"/>
              </w:rPr>
              <w:t>1</w:t>
            </w:r>
          </w:p>
        </w:tc>
        <w:tc>
          <w:tcPr>
            <w:tcW w:w="576" w:type="pct"/>
            <w:gridSpan w:val="4"/>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围绕全市工作重点领域和热点问题开展调研，形成一批调研成果，多篇获市委主要领导批示并转化为市委工作决策。</w:t>
            </w: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完成　</w:t>
            </w:r>
          </w:p>
        </w:tc>
        <w:tc>
          <w:tcPr>
            <w:tcW w:w="144" w:type="pct"/>
            <w:gridSpan w:val="2"/>
            <w:vMerge w:val="restart"/>
            <w:tcBorders>
              <w:top w:val="nil"/>
              <w:left w:val="single" w:sz="4" w:space="0" w:color="auto"/>
              <w:bottom w:val="single" w:sz="4" w:space="0" w:color="auto"/>
              <w:right w:val="single" w:sz="4" w:space="0" w:color="auto"/>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30</w:t>
            </w: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10</w:t>
            </w:r>
          </w:p>
        </w:tc>
        <w:tc>
          <w:tcPr>
            <w:tcW w:w="1438" w:type="pct"/>
            <w:gridSpan w:val="2"/>
            <w:vMerge w:val="restart"/>
            <w:tcBorders>
              <w:top w:val="nil"/>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464" w:type="pct"/>
            <w:vMerge w:val="restart"/>
            <w:tcBorders>
              <w:top w:val="nil"/>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B04216">
        <w:trPr>
          <w:trHeight w:val="630"/>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hint="eastAsia"/>
                <w:color w:val="000000"/>
                <w:kern w:val="0"/>
                <w:sz w:val="20"/>
                <w:szCs w:val="20"/>
              </w:rPr>
              <w:t>2</w:t>
            </w:r>
          </w:p>
        </w:tc>
        <w:tc>
          <w:tcPr>
            <w:tcW w:w="576" w:type="pct"/>
            <w:gridSpan w:val="4"/>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统筹谋划市委深改委</w:t>
            </w:r>
            <w:r>
              <w:rPr>
                <w:rFonts w:ascii="宋体" w:hAnsi="宋体" w:cs="宋体" w:hint="eastAsia"/>
                <w:color w:val="000000"/>
                <w:kern w:val="0"/>
                <w:sz w:val="18"/>
                <w:szCs w:val="18"/>
              </w:rPr>
              <w:t>2021</w:t>
            </w:r>
            <w:r>
              <w:rPr>
                <w:rFonts w:ascii="宋体" w:hAnsi="宋体" w:cs="宋体" w:hint="eastAsia"/>
                <w:color w:val="000000"/>
                <w:kern w:val="0"/>
                <w:sz w:val="18"/>
                <w:szCs w:val="18"/>
              </w:rPr>
              <w:t>年工作</w:t>
            </w:r>
            <w:r>
              <w:rPr>
                <w:rFonts w:ascii="宋体" w:hAnsi="宋体" w:cs="宋体" w:hint="eastAsia"/>
                <w:color w:val="000000"/>
                <w:kern w:val="0"/>
                <w:sz w:val="18"/>
                <w:szCs w:val="18"/>
              </w:rPr>
              <w:lastRenderedPageBreak/>
              <w:t>要点，提出</w:t>
            </w:r>
            <w:r>
              <w:rPr>
                <w:rFonts w:ascii="宋体" w:hAnsi="宋体" w:cs="宋体" w:hint="eastAsia"/>
                <w:color w:val="000000"/>
                <w:kern w:val="0"/>
                <w:sz w:val="18"/>
                <w:szCs w:val="18"/>
              </w:rPr>
              <w:t>68</w:t>
            </w:r>
            <w:r>
              <w:rPr>
                <w:rFonts w:ascii="宋体" w:hAnsi="宋体" w:cs="宋体" w:hint="eastAsia"/>
                <w:color w:val="000000"/>
                <w:kern w:val="0"/>
                <w:sz w:val="18"/>
                <w:szCs w:val="18"/>
              </w:rPr>
              <w:t>项改革任务、</w:t>
            </w:r>
            <w:r>
              <w:rPr>
                <w:rFonts w:ascii="宋体" w:hAnsi="宋体" w:cs="宋体" w:hint="eastAsia"/>
                <w:color w:val="000000"/>
                <w:kern w:val="0"/>
                <w:sz w:val="18"/>
                <w:szCs w:val="18"/>
              </w:rPr>
              <w:t>14</w:t>
            </w:r>
            <w:r>
              <w:rPr>
                <w:rFonts w:ascii="宋体" w:hAnsi="宋体" w:cs="宋体" w:hint="eastAsia"/>
                <w:color w:val="000000"/>
                <w:kern w:val="0"/>
                <w:sz w:val="18"/>
                <w:szCs w:val="18"/>
              </w:rPr>
              <w:t>项重点推进改革事项、</w:t>
            </w:r>
            <w:r>
              <w:rPr>
                <w:rFonts w:ascii="宋体" w:hAnsi="宋体" w:cs="宋体" w:hint="eastAsia"/>
                <w:color w:val="000000"/>
                <w:kern w:val="0"/>
                <w:sz w:val="18"/>
                <w:szCs w:val="18"/>
              </w:rPr>
              <w:t>35</w:t>
            </w:r>
            <w:r>
              <w:rPr>
                <w:rFonts w:ascii="宋体" w:hAnsi="宋体" w:cs="宋体" w:hint="eastAsia"/>
                <w:color w:val="000000"/>
                <w:kern w:val="0"/>
                <w:sz w:val="18"/>
                <w:szCs w:val="18"/>
              </w:rPr>
              <w:t xml:space="preserve">项市级督察事项。　</w:t>
            </w: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完成</w:t>
            </w:r>
          </w:p>
        </w:tc>
        <w:tc>
          <w:tcPr>
            <w:tcW w:w="144"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r>
              <w:rPr>
                <w:rFonts w:ascii="宋体" w:hAnsi="宋体" w:cs="宋体" w:hint="eastAsia"/>
                <w:color w:val="000000"/>
                <w:kern w:val="0"/>
                <w:sz w:val="20"/>
                <w:szCs w:val="20"/>
              </w:rPr>
              <w:t xml:space="preserve">　</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690"/>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hint="eastAsia"/>
                <w:color w:val="000000"/>
                <w:kern w:val="0"/>
                <w:sz w:val="20"/>
                <w:szCs w:val="20"/>
              </w:rPr>
              <w:t>3</w:t>
            </w:r>
          </w:p>
        </w:tc>
        <w:tc>
          <w:tcPr>
            <w:tcW w:w="576" w:type="pct"/>
            <w:gridSpan w:val="4"/>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两刊的编发得到市领导肯定，能够受到广大读者的欢迎；出版《健康城市蓝皮书：北京健康城市建设研究报告（</w:t>
            </w:r>
            <w:r>
              <w:rPr>
                <w:rFonts w:ascii="宋体" w:hAnsi="宋体" w:cs="宋体" w:hint="eastAsia"/>
                <w:color w:val="000000"/>
                <w:kern w:val="0"/>
                <w:sz w:val="18"/>
                <w:szCs w:val="18"/>
              </w:rPr>
              <w:t>2021</w:t>
            </w:r>
            <w:r>
              <w:rPr>
                <w:rFonts w:ascii="宋体" w:hAnsi="宋体" w:cs="宋体" w:hint="eastAsia"/>
                <w:color w:val="000000"/>
                <w:kern w:val="0"/>
                <w:sz w:val="18"/>
                <w:szCs w:val="18"/>
              </w:rPr>
              <w:t>）》专著，面向全社会进行推广分享</w:t>
            </w:r>
            <w:bookmarkStart w:id="0" w:name="_GoBack"/>
            <w:bookmarkEnd w:id="0"/>
            <w:r>
              <w:rPr>
                <w:rFonts w:ascii="宋体" w:hAnsi="宋体" w:cs="宋体" w:hint="eastAsia"/>
                <w:color w:val="000000"/>
                <w:kern w:val="0"/>
                <w:sz w:val="18"/>
                <w:szCs w:val="18"/>
              </w:rPr>
              <w:t>，为健康中国、健康北京、健康城市建设提供经验借鉴和决策参考。</w:t>
            </w: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完成　</w:t>
            </w:r>
          </w:p>
        </w:tc>
        <w:tc>
          <w:tcPr>
            <w:tcW w:w="144"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r>
              <w:rPr>
                <w:rFonts w:ascii="宋体" w:hAnsi="宋体" w:cs="宋体" w:hint="eastAsia"/>
                <w:color w:val="000000"/>
                <w:kern w:val="0"/>
                <w:sz w:val="20"/>
                <w:szCs w:val="20"/>
              </w:rPr>
              <w:t xml:space="preserve">　</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675"/>
        </w:trPr>
        <w:tc>
          <w:tcPr>
            <w:tcW w:w="331"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273" w:type="pct"/>
            <w:tcBorders>
              <w:top w:val="nil"/>
              <w:left w:val="nil"/>
              <w:bottom w:val="single" w:sz="4" w:space="0" w:color="auto"/>
              <w:right w:val="single" w:sz="4" w:space="0" w:color="auto"/>
            </w:tcBorders>
            <w:vAlign w:val="center"/>
          </w:tcPr>
          <w:p w:rsidR="00B04216" w:rsidRDefault="00A8438D">
            <w:pPr>
              <w:widowControl/>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hint="eastAsia"/>
                <w:color w:val="000000"/>
                <w:kern w:val="0"/>
                <w:sz w:val="20"/>
                <w:szCs w:val="20"/>
              </w:rPr>
              <w:t>4</w:t>
            </w:r>
          </w:p>
        </w:tc>
        <w:tc>
          <w:tcPr>
            <w:tcW w:w="576" w:type="pct"/>
            <w:gridSpan w:val="4"/>
            <w:tcBorders>
              <w:top w:val="nil"/>
              <w:left w:val="nil"/>
              <w:bottom w:val="single" w:sz="4" w:space="0" w:color="auto"/>
              <w:right w:val="single" w:sz="4" w:space="0" w:color="auto"/>
            </w:tcBorders>
            <w:vAlign w:val="center"/>
          </w:tcPr>
          <w:p w:rsidR="00B04216" w:rsidRDefault="00B04216">
            <w:pPr>
              <w:widowControl/>
              <w:jc w:val="center"/>
              <w:rPr>
                <w:rFonts w:ascii="宋体" w:hAnsi="宋体" w:cs="宋体"/>
                <w:color w:val="000000"/>
                <w:kern w:val="0"/>
                <w:sz w:val="18"/>
                <w:szCs w:val="18"/>
              </w:rPr>
            </w:pPr>
          </w:p>
        </w:tc>
        <w:tc>
          <w:tcPr>
            <w:tcW w:w="239"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4"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192"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438" w:type="pct"/>
            <w:gridSpan w:val="2"/>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c>
          <w:tcPr>
            <w:tcW w:w="146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18"/>
                <w:szCs w:val="18"/>
              </w:rPr>
            </w:pPr>
          </w:p>
        </w:tc>
      </w:tr>
      <w:tr w:rsidR="00B04216">
        <w:trPr>
          <w:trHeight w:val="699"/>
        </w:trPr>
        <w:tc>
          <w:tcPr>
            <w:tcW w:w="5000" w:type="pct"/>
            <w:gridSpan w:val="16"/>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w:t>
            </w:r>
            <w:r>
              <w:rPr>
                <w:rFonts w:ascii="宋体" w:hAnsi="宋体" w:cs="宋体" w:hint="eastAsia"/>
                <w:color w:val="000000"/>
                <w:kern w:val="0"/>
                <w:sz w:val="20"/>
                <w:szCs w:val="20"/>
              </w:rPr>
              <w:t>20</w:t>
            </w:r>
            <w:r>
              <w:rPr>
                <w:rFonts w:ascii="宋体" w:hAnsi="宋体" w:cs="宋体" w:hint="eastAsia"/>
                <w:color w:val="000000"/>
                <w:kern w:val="0"/>
                <w:sz w:val="20"/>
                <w:szCs w:val="20"/>
              </w:rPr>
              <w:t>分）</w:t>
            </w:r>
          </w:p>
        </w:tc>
      </w:tr>
      <w:tr w:rsidR="00B04216">
        <w:trPr>
          <w:trHeight w:val="702"/>
        </w:trPr>
        <w:tc>
          <w:tcPr>
            <w:tcW w:w="331"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44"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10"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310"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321" w:type="pct"/>
            <w:gridSpan w:val="3"/>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11" w:type="pct"/>
            <w:gridSpan w:val="2"/>
            <w:tcBorders>
              <w:top w:val="single" w:sz="4" w:space="0" w:color="auto"/>
              <w:left w:val="nil"/>
              <w:bottom w:val="single" w:sz="4" w:space="0" w:color="auto"/>
              <w:right w:val="single" w:sz="4" w:space="0" w:color="auto"/>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211" w:type="pct"/>
            <w:gridSpan w:val="2"/>
            <w:tcBorders>
              <w:top w:val="single" w:sz="4" w:space="0" w:color="auto"/>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496"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B04216">
        <w:trPr>
          <w:trHeight w:val="1230"/>
        </w:trPr>
        <w:tc>
          <w:tcPr>
            <w:tcW w:w="331" w:type="pct"/>
            <w:vMerge w:val="restar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预算管理情况（</w:t>
            </w:r>
            <w:r>
              <w:rPr>
                <w:rFonts w:ascii="宋体" w:hAnsi="宋体" w:cs="宋体" w:hint="eastAsia"/>
                <w:color w:val="000000"/>
                <w:kern w:val="0"/>
                <w:sz w:val="20"/>
                <w:szCs w:val="20"/>
              </w:rPr>
              <w:t>20</w:t>
            </w:r>
            <w:r>
              <w:rPr>
                <w:rFonts w:ascii="宋体" w:hAnsi="宋体" w:cs="宋体" w:hint="eastAsia"/>
                <w:color w:val="000000"/>
                <w:kern w:val="0"/>
                <w:sz w:val="20"/>
                <w:szCs w:val="20"/>
              </w:rPr>
              <w:t>）</w:t>
            </w:r>
          </w:p>
        </w:tc>
        <w:tc>
          <w:tcPr>
            <w:tcW w:w="344" w:type="pct"/>
            <w:vMerge w:val="restar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310"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310"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财务管理制度健全，执行有效　</w:t>
            </w:r>
          </w:p>
        </w:tc>
        <w:tc>
          <w:tcPr>
            <w:tcW w:w="321" w:type="pct"/>
            <w:gridSpan w:val="3"/>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财务管理制度健全，执行有效</w:t>
            </w:r>
          </w:p>
        </w:tc>
        <w:tc>
          <w:tcPr>
            <w:tcW w:w="211" w:type="pct"/>
            <w:gridSpan w:val="2"/>
            <w:tcBorders>
              <w:top w:val="single" w:sz="4" w:space="0" w:color="auto"/>
              <w:left w:val="nil"/>
              <w:bottom w:val="single" w:sz="4" w:space="0" w:color="auto"/>
              <w:right w:val="single" w:sz="4" w:space="0" w:color="auto"/>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11" w:type="pct"/>
            <w:gridSpan w:val="2"/>
            <w:tcBorders>
              <w:top w:val="single" w:sz="4" w:space="0" w:color="auto"/>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 xml:space="preserve">　</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部门（单位）为加强财务管理、规范财务行为而制定的管理制度。</w:t>
            </w:r>
          </w:p>
        </w:tc>
        <w:tc>
          <w:tcPr>
            <w:tcW w:w="1496" w:type="pct"/>
            <w:gridSpan w:val="2"/>
            <w:tcBorders>
              <w:top w:val="single" w:sz="4" w:space="0" w:color="auto"/>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B04216">
        <w:trPr>
          <w:trHeight w:val="2220"/>
        </w:trPr>
        <w:tc>
          <w:tcPr>
            <w:tcW w:w="331" w:type="pct"/>
            <w:vMerge/>
            <w:tcBorders>
              <w:top w:val="single" w:sz="4" w:space="0" w:color="auto"/>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top w:val="single" w:sz="4" w:space="0" w:color="auto"/>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10"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310"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b/>
                <w:color w:val="000000"/>
                <w:kern w:val="0"/>
                <w:sz w:val="20"/>
                <w:szCs w:val="20"/>
              </w:rPr>
            </w:pPr>
            <w:r>
              <w:rPr>
                <w:rFonts w:ascii="宋体" w:hAnsi="宋体" w:cs="宋体" w:hint="eastAsia"/>
                <w:color w:val="000000"/>
                <w:kern w:val="0"/>
                <w:sz w:val="20"/>
                <w:szCs w:val="20"/>
              </w:rPr>
              <w:t xml:space="preserve">　合规</w:t>
            </w:r>
          </w:p>
        </w:tc>
        <w:tc>
          <w:tcPr>
            <w:tcW w:w="321" w:type="pct"/>
            <w:gridSpan w:val="3"/>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合规　</w:t>
            </w:r>
          </w:p>
        </w:tc>
        <w:tc>
          <w:tcPr>
            <w:tcW w:w="211" w:type="pct"/>
            <w:gridSpan w:val="2"/>
            <w:tcBorders>
              <w:top w:val="single" w:sz="4" w:space="0" w:color="auto"/>
              <w:left w:val="nil"/>
              <w:bottom w:val="single" w:sz="4" w:space="0" w:color="auto"/>
              <w:right w:val="single" w:sz="4" w:space="0" w:color="auto"/>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11" w:type="pct"/>
            <w:gridSpan w:val="2"/>
            <w:tcBorders>
              <w:top w:val="single" w:sz="4" w:space="0" w:color="auto"/>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hint="eastAsia"/>
                <w:color w:val="000000"/>
                <w:kern w:val="0"/>
                <w:sz w:val="20"/>
                <w:szCs w:val="20"/>
              </w:rPr>
              <w:t xml:space="preserve">　</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496" w:type="pct"/>
            <w:gridSpan w:val="2"/>
            <w:tcBorders>
              <w:top w:val="single" w:sz="4" w:space="0" w:color="auto"/>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B04216">
        <w:trPr>
          <w:trHeight w:val="1035"/>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vMerge/>
            <w:tcBorders>
              <w:top w:val="nil"/>
              <w:left w:val="single" w:sz="4" w:space="0" w:color="auto"/>
              <w:bottom w:val="single" w:sz="4" w:space="0" w:color="auto"/>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10"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310" w:type="pct"/>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完善　</w:t>
            </w:r>
          </w:p>
        </w:tc>
        <w:tc>
          <w:tcPr>
            <w:tcW w:w="321" w:type="pct"/>
            <w:gridSpan w:val="3"/>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完善　</w:t>
            </w:r>
          </w:p>
        </w:tc>
        <w:tc>
          <w:tcPr>
            <w:tcW w:w="211" w:type="pct"/>
            <w:gridSpan w:val="2"/>
            <w:tcBorders>
              <w:top w:val="nil"/>
              <w:left w:val="nil"/>
              <w:bottom w:val="single" w:sz="4" w:space="0" w:color="auto"/>
              <w:right w:val="single" w:sz="4" w:space="0" w:color="auto"/>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11" w:type="pct"/>
            <w:gridSpan w:val="2"/>
            <w:tcBorders>
              <w:top w:val="nil"/>
              <w:left w:val="nil"/>
              <w:bottom w:val="single" w:sz="4" w:space="0" w:color="auto"/>
              <w:right w:val="nil"/>
            </w:tcBorders>
            <w:noWrap/>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466" w:type="pct"/>
            <w:gridSpan w:val="2"/>
            <w:tcBorders>
              <w:top w:val="nil"/>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部门（单位）会计基础信息情况。</w:t>
            </w:r>
          </w:p>
        </w:tc>
        <w:tc>
          <w:tcPr>
            <w:tcW w:w="1496" w:type="pct"/>
            <w:gridSpan w:val="2"/>
            <w:tcBorders>
              <w:top w:val="nil"/>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w:t>
            </w:r>
            <w:r>
              <w:rPr>
                <w:rFonts w:ascii="宋体" w:hAnsi="宋体" w:cs="宋体" w:hint="eastAsia"/>
                <w:color w:val="000000"/>
                <w:kern w:val="0"/>
                <w:sz w:val="18"/>
                <w:szCs w:val="18"/>
              </w:rPr>
              <w:t>0.5</w:t>
            </w:r>
            <w:r>
              <w:rPr>
                <w:rFonts w:ascii="宋体" w:hAnsi="宋体" w:cs="宋体" w:hint="eastAsia"/>
                <w:color w:val="000000"/>
                <w:kern w:val="0"/>
                <w:sz w:val="18"/>
                <w:szCs w:val="18"/>
              </w:rPr>
              <w:t>分，扣完为止。</w:t>
            </w:r>
          </w:p>
        </w:tc>
      </w:tr>
      <w:tr w:rsidR="00B04216">
        <w:trPr>
          <w:trHeight w:val="2220"/>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310"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310" w:type="pct"/>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严格按照资产管理制度规定执行</w:t>
            </w:r>
          </w:p>
        </w:tc>
        <w:tc>
          <w:tcPr>
            <w:tcW w:w="321" w:type="pct"/>
            <w:gridSpan w:val="3"/>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严格按照资产管理制度规定执行</w:t>
            </w:r>
          </w:p>
        </w:tc>
        <w:tc>
          <w:tcPr>
            <w:tcW w:w="211"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11"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b/>
                <w:bCs/>
                <w:color w:val="000000"/>
                <w:kern w:val="0"/>
                <w:sz w:val="18"/>
                <w:szCs w:val="18"/>
              </w:rPr>
              <w:t>:</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49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w:t>
            </w:r>
            <w:r>
              <w:rPr>
                <w:rFonts w:ascii="宋体" w:hAnsi="宋体" w:cs="宋体" w:hint="eastAsia"/>
                <w:color w:val="000000"/>
                <w:kern w:val="0"/>
                <w:sz w:val="18"/>
                <w:szCs w:val="18"/>
              </w:rPr>
              <w:t>0.8</w:t>
            </w:r>
            <w:r>
              <w:rPr>
                <w:rFonts w:ascii="宋体" w:hAnsi="宋体" w:cs="宋体" w:hint="eastAsia"/>
                <w:color w:val="000000"/>
                <w:kern w:val="0"/>
                <w:sz w:val="18"/>
                <w:szCs w:val="18"/>
              </w:rPr>
              <w:t>分，扣完为止。</w:t>
            </w:r>
          </w:p>
        </w:tc>
      </w:tr>
      <w:tr w:rsidR="00B04216">
        <w:trPr>
          <w:trHeight w:val="1750"/>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310"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310" w:type="pct"/>
            <w:tcBorders>
              <w:top w:val="single" w:sz="4" w:space="0" w:color="auto"/>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全年按时完成绩效监控及绩效评价工作</w:t>
            </w:r>
          </w:p>
        </w:tc>
        <w:tc>
          <w:tcPr>
            <w:tcW w:w="321" w:type="pct"/>
            <w:gridSpan w:val="3"/>
            <w:tcBorders>
              <w:top w:val="single" w:sz="4" w:space="0" w:color="auto"/>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全年按时完成绩效监控及绩效评价工作</w:t>
            </w:r>
          </w:p>
        </w:tc>
        <w:tc>
          <w:tcPr>
            <w:tcW w:w="211"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11" w:type="pct"/>
            <w:gridSpan w:val="2"/>
            <w:tcBorders>
              <w:top w:val="single" w:sz="4" w:space="0" w:color="auto"/>
              <w:left w:val="nil"/>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b/>
                <w:bCs/>
                <w:color w:val="000000"/>
                <w:kern w:val="0"/>
                <w:sz w:val="18"/>
                <w:szCs w:val="18"/>
              </w:rPr>
              <w:t>:</w:t>
            </w:r>
            <w:r>
              <w:rPr>
                <w:rFonts w:ascii="宋体" w:hAnsi="宋体" w:cs="宋体" w:hint="eastAsia"/>
                <w:color w:val="000000"/>
                <w:kern w:val="0"/>
                <w:sz w:val="18"/>
                <w:szCs w:val="18"/>
              </w:rPr>
              <w:t>考核部门（单位）在绩效管理信息的汇总和应用情况。</w:t>
            </w:r>
          </w:p>
        </w:tc>
        <w:tc>
          <w:tcPr>
            <w:tcW w:w="1496" w:type="pct"/>
            <w:gridSpan w:val="2"/>
            <w:tcBorders>
              <w:top w:val="single" w:sz="4" w:space="0" w:color="auto"/>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w:t>
            </w:r>
            <w:r>
              <w:rPr>
                <w:rFonts w:ascii="宋体" w:hAnsi="宋体" w:cs="宋体" w:hint="eastAsia"/>
                <w:color w:val="000000"/>
                <w:kern w:val="0"/>
                <w:sz w:val="18"/>
                <w:szCs w:val="18"/>
              </w:rPr>
              <w:t>2</w:t>
            </w:r>
            <w:r>
              <w:rPr>
                <w:rFonts w:ascii="宋体" w:hAnsi="宋体" w:cs="宋体" w:hint="eastAsia"/>
                <w:color w:val="000000"/>
                <w:kern w:val="0"/>
                <w:sz w:val="18"/>
                <w:szCs w:val="18"/>
              </w:rPr>
              <w:t>分。</w:t>
            </w:r>
          </w:p>
        </w:tc>
      </w:tr>
      <w:tr w:rsidR="00B04216">
        <w:trPr>
          <w:trHeight w:val="394"/>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620" w:type="pct"/>
            <w:gridSpan w:val="3"/>
            <w:tcBorders>
              <w:top w:val="single" w:sz="4" w:space="0" w:color="auto"/>
              <w:left w:val="nil"/>
              <w:bottom w:val="single" w:sz="4" w:space="0" w:color="auto"/>
              <w:right w:val="single" w:sz="4" w:space="0" w:color="000000"/>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2020</w:t>
            </w:r>
            <w:r>
              <w:rPr>
                <w:rFonts w:ascii="宋体" w:hAnsi="宋体" w:cs="宋体" w:hint="eastAsia"/>
                <w:color w:val="000000"/>
                <w:kern w:val="0"/>
                <w:sz w:val="20"/>
                <w:szCs w:val="20"/>
              </w:rPr>
              <w:t>年</w:t>
            </w:r>
          </w:p>
        </w:tc>
        <w:tc>
          <w:tcPr>
            <w:tcW w:w="321" w:type="pct"/>
            <w:gridSpan w:val="3"/>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2021</w:t>
            </w:r>
            <w:r>
              <w:rPr>
                <w:rFonts w:ascii="宋体" w:hAnsi="宋体" w:cs="宋体" w:hint="eastAsia"/>
                <w:color w:val="000000"/>
                <w:kern w:val="0"/>
                <w:sz w:val="20"/>
                <w:szCs w:val="20"/>
              </w:rPr>
              <w:t>年</w:t>
            </w:r>
          </w:p>
        </w:tc>
        <w:tc>
          <w:tcPr>
            <w:tcW w:w="211"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11"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496" w:type="pct"/>
            <w:gridSpan w:val="2"/>
            <w:tcBorders>
              <w:top w:val="single" w:sz="4" w:space="0" w:color="auto"/>
              <w:left w:val="nil"/>
              <w:bottom w:val="single" w:sz="4" w:space="0" w:color="auto"/>
              <w:right w:val="single" w:sz="4" w:space="0" w:color="auto"/>
            </w:tcBorders>
            <w:vAlign w:val="center"/>
          </w:tcPr>
          <w:p w:rsidR="00B04216" w:rsidRDefault="00A8438D">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B04216">
        <w:trPr>
          <w:trHeight w:val="1365"/>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nil"/>
              <w:left w:val="nil"/>
              <w:bottom w:val="single" w:sz="4" w:space="0" w:color="auto"/>
              <w:right w:val="single" w:sz="4" w:space="0" w:color="auto"/>
            </w:tcBorders>
            <w:vAlign w:val="center"/>
          </w:tcPr>
          <w:p w:rsidR="00B04216" w:rsidRDefault="00A8438D">
            <w:pPr>
              <w:widowControl/>
              <w:rPr>
                <w:rFonts w:ascii="宋体" w:hAnsi="宋体" w:cs="宋体"/>
                <w:color w:val="000000"/>
                <w:kern w:val="0"/>
                <w:sz w:val="20"/>
                <w:szCs w:val="20"/>
              </w:rPr>
            </w:pPr>
            <w:r>
              <w:rPr>
                <w:rFonts w:ascii="宋体" w:hAnsi="宋体" w:cs="宋体" w:hint="eastAsia"/>
                <w:color w:val="000000"/>
                <w:kern w:val="0"/>
                <w:sz w:val="20"/>
                <w:szCs w:val="20"/>
              </w:rPr>
              <w:t>结转结余率（</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620" w:type="pct"/>
            <w:gridSpan w:val="3"/>
            <w:tcBorders>
              <w:top w:val="single" w:sz="4" w:space="0" w:color="auto"/>
              <w:left w:val="nil"/>
              <w:bottom w:val="single" w:sz="4" w:space="0" w:color="auto"/>
              <w:right w:val="single" w:sz="4" w:space="0" w:color="000000"/>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3.59%</w:t>
            </w:r>
          </w:p>
        </w:tc>
        <w:tc>
          <w:tcPr>
            <w:tcW w:w="321" w:type="pct"/>
            <w:gridSpan w:val="3"/>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3.64%</w:t>
            </w:r>
          </w:p>
        </w:tc>
        <w:tc>
          <w:tcPr>
            <w:tcW w:w="211"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11" w:type="pct"/>
            <w:gridSpan w:val="2"/>
            <w:tcBorders>
              <w:top w:val="nil"/>
              <w:left w:val="nil"/>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466" w:type="pct"/>
            <w:gridSpan w:val="2"/>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w:t>
            </w:r>
            <w:r>
              <w:rPr>
                <w:rFonts w:ascii="宋体" w:hAnsi="宋体" w:cs="宋体" w:hint="eastAsia"/>
                <w:color w:val="000000"/>
                <w:kern w:val="0"/>
                <w:sz w:val="18"/>
                <w:szCs w:val="18"/>
              </w:rPr>
              <w:t>=</w:t>
            </w:r>
            <w:r>
              <w:rPr>
                <w:rFonts w:ascii="宋体" w:hAnsi="宋体" w:cs="宋体" w:hint="eastAsia"/>
                <w:color w:val="000000"/>
                <w:kern w:val="0"/>
                <w:sz w:val="18"/>
                <w:szCs w:val="18"/>
              </w:rPr>
              <w:t>结转结余总额</w:t>
            </w:r>
            <w:r>
              <w:rPr>
                <w:rFonts w:ascii="宋体" w:hAnsi="宋体" w:cs="宋体" w:hint="eastAsia"/>
                <w:color w:val="000000"/>
                <w:kern w:val="0"/>
                <w:sz w:val="18"/>
                <w:szCs w:val="18"/>
              </w:rPr>
              <w:t>/</w:t>
            </w:r>
            <w:r>
              <w:rPr>
                <w:rFonts w:ascii="宋体" w:hAnsi="宋体" w:cs="宋体" w:hint="eastAsia"/>
                <w:color w:val="000000"/>
                <w:kern w:val="0"/>
                <w:sz w:val="18"/>
                <w:szCs w:val="18"/>
              </w:rPr>
              <w:t>支出预算数×</w:t>
            </w: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br/>
            </w:r>
            <w:r>
              <w:rPr>
                <w:rFonts w:ascii="宋体" w:hAnsi="宋体" w:cs="宋体" w:hint="eastAsia"/>
                <w:color w:val="000000"/>
                <w:kern w:val="0"/>
                <w:sz w:val="18"/>
                <w:szCs w:val="18"/>
              </w:rPr>
              <w:t>结转结余总额：部门（单位）本年度的结转资金与结余资金之和。</w:t>
            </w:r>
          </w:p>
        </w:tc>
        <w:tc>
          <w:tcPr>
            <w:tcW w:w="1496" w:type="pct"/>
            <w:gridSpan w:val="2"/>
            <w:tcBorders>
              <w:top w:val="single" w:sz="4" w:space="0" w:color="auto"/>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w:t>
            </w:r>
            <w:r>
              <w:rPr>
                <w:rFonts w:ascii="宋体" w:hAnsi="宋体" w:cs="宋体" w:hint="eastAsia"/>
                <w:color w:val="000000"/>
                <w:kern w:val="0"/>
                <w:sz w:val="18"/>
                <w:szCs w:val="18"/>
              </w:rPr>
              <w:t>1</w:t>
            </w:r>
            <w:r>
              <w:rPr>
                <w:rFonts w:ascii="宋体" w:hAnsi="宋体" w:cs="宋体" w:hint="eastAsia"/>
                <w:color w:val="000000"/>
                <w:kern w:val="0"/>
                <w:sz w:val="18"/>
                <w:szCs w:val="18"/>
              </w:rPr>
              <w:t>个百分点扣</w:t>
            </w:r>
            <w:r>
              <w:rPr>
                <w:rFonts w:ascii="宋体" w:hAnsi="宋体" w:cs="宋体" w:hint="eastAsia"/>
                <w:color w:val="000000"/>
                <w:kern w:val="0"/>
                <w:sz w:val="18"/>
                <w:szCs w:val="18"/>
              </w:rPr>
              <w:t>0.4</w:t>
            </w:r>
            <w:r>
              <w:rPr>
                <w:rFonts w:ascii="宋体" w:hAnsi="宋体" w:cs="宋体" w:hint="eastAsia"/>
                <w:color w:val="000000"/>
                <w:kern w:val="0"/>
                <w:sz w:val="18"/>
                <w:szCs w:val="18"/>
              </w:rPr>
              <w:t>分，扣完为止。（说明：预算调整和结转结余指标，如非预算部门主观因素导致扣分的，在评分结果征求意见环节，经与相关部门预算主管处室共同研究，可作为例外情况酌情考虑。）</w:t>
            </w:r>
          </w:p>
        </w:tc>
      </w:tr>
      <w:tr w:rsidR="00B04216">
        <w:trPr>
          <w:trHeight w:val="90"/>
        </w:trPr>
        <w:tc>
          <w:tcPr>
            <w:tcW w:w="331" w:type="pct"/>
            <w:vMerge/>
            <w:tcBorders>
              <w:top w:val="nil"/>
              <w:left w:val="single" w:sz="4" w:space="0" w:color="auto"/>
              <w:bottom w:val="single" w:sz="4" w:space="0" w:color="000000"/>
              <w:right w:val="single" w:sz="4" w:space="0" w:color="auto"/>
            </w:tcBorders>
            <w:vAlign w:val="center"/>
          </w:tcPr>
          <w:p w:rsidR="00B04216" w:rsidRDefault="00B04216">
            <w:pPr>
              <w:widowControl/>
              <w:jc w:val="left"/>
              <w:rPr>
                <w:rFonts w:ascii="宋体" w:hAnsi="宋体" w:cs="宋体"/>
                <w:color w:val="000000"/>
                <w:kern w:val="0"/>
                <w:sz w:val="20"/>
                <w:szCs w:val="20"/>
              </w:rPr>
            </w:pPr>
          </w:p>
        </w:tc>
        <w:tc>
          <w:tcPr>
            <w:tcW w:w="344" w:type="pct"/>
            <w:tcBorders>
              <w:top w:val="nil"/>
              <w:left w:val="nil"/>
              <w:bottom w:val="single" w:sz="4" w:space="0" w:color="auto"/>
              <w:right w:val="single" w:sz="4" w:space="0" w:color="auto"/>
            </w:tcBorders>
            <w:vAlign w:val="center"/>
          </w:tcPr>
          <w:p w:rsidR="00B04216" w:rsidRDefault="00A8438D">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w:t>
            </w:r>
            <w:r>
              <w:rPr>
                <w:rFonts w:ascii="宋体" w:hAnsi="宋体" w:cs="宋体" w:hint="eastAsia"/>
                <w:color w:val="000000"/>
                <w:kern w:val="0"/>
                <w:sz w:val="20"/>
                <w:szCs w:val="20"/>
              </w:rPr>
              <w:t>4</w:t>
            </w:r>
            <w:r>
              <w:rPr>
                <w:rFonts w:ascii="宋体" w:hAnsi="宋体" w:cs="宋体" w:hint="eastAsia"/>
                <w:color w:val="000000"/>
                <w:kern w:val="0"/>
                <w:sz w:val="20"/>
                <w:szCs w:val="20"/>
              </w:rPr>
              <w:t>）</w:t>
            </w:r>
          </w:p>
        </w:tc>
        <w:tc>
          <w:tcPr>
            <w:tcW w:w="620" w:type="pct"/>
            <w:gridSpan w:val="3"/>
            <w:tcBorders>
              <w:top w:val="single" w:sz="4" w:space="0" w:color="auto"/>
              <w:left w:val="nil"/>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21" w:type="pct"/>
            <w:gridSpan w:val="3"/>
            <w:tcBorders>
              <w:top w:val="nil"/>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3.73%</w:t>
            </w:r>
          </w:p>
        </w:tc>
        <w:tc>
          <w:tcPr>
            <w:tcW w:w="211"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11" w:type="pct"/>
            <w:gridSpan w:val="2"/>
            <w:tcBorders>
              <w:top w:val="nil"/>
              <w:left w:val="nil"/>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466" w:type="pct"/>
            <w:gridSpan w:val="2"/>
            <w:tcBorders>
              <w:top w:val="nil"/>
              <w:left w:val="single" w:sz="4" w:space="0" w:color="auto"/>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496" w:type="pct"/>
            <w:gridSpan w:val="2"/>
            <w:tcBorders>
              <w:top w:val="nil"/>
              <w:left w:val="nil"/>
              <w:bottom w:val="single" w:sz="4" w:space="0" w:color="auto"/>
              <w:right w:val="single" w:sz="4" w:space="0" w:color="auto"/>
            </w:tcBorders>
            <w:vAlign w:val="center"/>
          </w:tcPr>
          <w:p w:rsidR="00B04216" w:rsidRDefault="00A8438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w:t>
            </w:r>
            <w:r>
              <w:rPr>
                <w:rFonts w:ascii="宋体" w:hAnsi="宋体" w:cs="宋体" w:hint="eastAsia"/>
                <w:color w:val="000000"/>
                <w:kern w:val="0"/>
                <w:sz w:val="18"/>
                <w:szCs w:val="18"/>
              </w:rPr>
              <w:t>28.3%</w:t>
            </w:r>
            <w:r>
              <w:rPr>
                <w:rFonts w:ascii="宋体" w:hAnsi="宋体" w:cs="宋体" w:hint="eastAsia"/>
                <w:color w:val="000000"/>
                <w:kern w:val="0"/>
                <w:sz w:val="18"/>
                <w:szCs w:val="18"/>
              </w:rPr>
              <w:t>）的，每高出</w:t>
            </w:r>
            <w:r>
              <w:rPr>
                <w:rFonts w:ascii="宋体" w:hAnsi="宋体" w:cs="宋体" w:hint="eastAsia"/>
                <w:color w:val="000000"/>
                <w:kern w:val="0"/>
                <w:sz w:val="18"/>
                <w:szCs w:val="18"/>
              </w:rPr>
              <w:t>10%</w:t>
            </w:r>
            <w:r>
              <w:rPr>
                <w:rFonts w:ascii="宋体" w:hAnsi="宋体" w:cs="宋体" w:hint="eastAsia"/>
                <w:color w:val="000000"/>
                <w:kern w:val="0"/>
                <w:sz w:val="18"/>
                <w:szCs w:val="18"/>
              </w:rPr>
              <w:t>（含），扣</w:t>
            </w:r>
            <w:r>
              <w:rPr>
                <w:rFonts w:ascii="宋体" w:hAnsi="宋体" w:cs="宋体" w:hint="eastAsia"/>
                <w:color w:val="000000"/>
                <w:kern w:val="0"/>
                <w:sz w:val="18"/>
                <w:szCs w:val="18"/>
              </w:rPr>
              <w:t>0.4</w:t>
            </w:r>
            <w:r>
              <w:rPr>
                <w:rFonts w:ascii="宋体" w:hAnsi="宋体" w:cs="宋体" w:hint="eastAsia"/>
                <w:color w:val="000000"/>
                <w:kern w:val="0"/>
                <w:sz w:val="18"/>
                <w:szCs w:val="18"/>
              </w:rPr>
              <w:t>分，扣完为止。</w:t>
            </w:r>
          </w:p>
        </w:tc>
      </w:tr>
      <w:tr w:rsidR="00B04216">
        <w:trPr>
          <w:trHeight w:val="404"/>
        </w:trPr>
        <w:tc>
          <w:tcPr>
            <w:tcW w:w="1616" w:type="pct"/>
            <w:gridSpan w:val="8"/>
            <w:tcBorders>
              <w:top w:val="single" w:sz="4" w:space="0" w:color="auto"/>
              <w:left w:val="single" w:sz="4" w:space="0" w:color="auto"/>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11" w:type="pct"/>
            <w:gridSpan w:val="2"/>
            <w:tcBorders>
              <w:top w:val="nil"/>
              <w:left w:val="nil"/>
              <w:bottom w:val="single" w:sz="4" w:space="0" w:color="auto"/>
              <w:right w:val="single" w:sz="4" w:space="0" w:color="auto"/>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211" w:type="pct"/>
            <w:gridSpan w:val="2"/>
            <w:tcBorders>
              <w:top w:val="nil"/>
              <w:left w:val="nil"/>
              <w:bottom w:val="single" w:sz="4" w:space="0" w:color="auto"/>
              <w:right w:val="nil"/>
            </w:tcBorders>
            <w:vAlign w:val="center"/>
          </w:tcPr>
          <w:p w:rsidR="00B04216" w:rsidRDefault="00A8438D">
            <w:pPr>
              <w:widowControl/>
              <w:jc w:val="center"/>
              <w:rPr>
                <w:rFonts w:ascii="宋体" w:hAnsi="宋体" w:cs="宋体"/>
                <w:color w:val="000000"/>
                <w:kern w:val="0"/>
                <w:sz w:val="20"/>
                <w:szCs w:val="20"/>
              </w:rPr>
            </w:pPr>
            <w:r>
              <w:rPr>
                <w:rFonts w:ascii="宋体" w:hAnsi="宋体" w:cs="宋体" w:hint="eastAsia"/>
                <w:color w:val="000000"/>
                <w:kern w:val="0"/>
                <w:sz w:val="20"/>
                <w:szCs w:val="20"/>
              </w:rPr>
              <w:t>95</w:t>
            </w:r>
          </w:p>
        </w:tc>
        <w:tc>
          <w:tcPr>
            <w:tcW w:w="2962" w:type="pct"/>
            <w:gridSpan w:val="4"/>
            <w:tcBorders>
              <w:top w:val="single" w:sz="4" w:space="0" w:color="auto"/>
              <w:left w:val="single" w:sz="4" w:space="0" w:color="auto"/>
              <w:bottom w:val="single" w:sz="4" w:space="0" w:color="auto"/>
              <w:right w:val="single" w:sz="4" w:space="0" w:color="000000"/>
            </w:tcBorders>
            <w:vAlign w:val="center"/>
          </w:tcPr>
          <w:p w:rsidR="00B04216" w:rsidRDefault="00A8438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rsidR="00B04216" w:rsidRDefault="00B04216">
      <w:pPr>
        <w:spacing w:line="20" w:lineRule="exact"/>
        <w:ind w:leftChars="-10" w:left="-21" w:rightChars="20" w:right="42"/>
      </w:pPr>
    </w:p>
    <w:p w:rsidR="00B04216" w:rsidRDefault="00B04216"/>
    <w:p w:rsidR="00B04216" w:rsidRDefault="00A8438D">
      <w:pPr>
        <w:spacing w:line="580" w:lineRule="exact"/>
        <w:ind w:leftChars="50" w:left="105"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存在的问题及原因分析</w:t>
      </w:r>
    </w:p>
    <w:p w:rsidR="00B04216" w:rsidRDefault="00A8438D">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项目绩效目标设定方面。一是个别指标年度指标值设置偏保守，实际完成值偏差较大；又如服务对象满意度指标值设定比较模糊。二是指标设定涵盖内容不够全面，如针对委托第三方开展的相关工作，在质量指标中未</w:t>
      </w:r>
      <w:r>
        <w:rPr>
          <w:rFonts w:ascii="仿宋_GB2312" w:eastAsia="仿宋_GB2312" w:hAnsi="仿宋_GB2312" w:cs="仿宋_GB2312" w:hint="eastAsia"/>
          <w:sz w:val="28"/>
          <w:szCs w:val="28"/>
        </w:rPr>
        <w:lastRenderedPageBreak/>
        <w:t>体现各类活动建设和组织工作的验收合格率、宣传工作的验收合格率等。三是个别指标细化程度不足，未明确参与机构的类型；进度指标未明确各阶段工作的具体时间节点等。</w:t>
      </w:r>
    </w:p>
    <w:p w:rsidR="00B04216" w:rsidRDefault="00A8438D">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）项目制度建设与执行方面。</w:t>
      </w:r>
      <w:r>
        <w:rPr>
          <w:rFonts w:ascii="仿宋_GB2312" w:eastAsia="仿宋_GB2312" w:hAnsi="仿宋_GB2312" w:cs="仿宋_GB2312" w:hint="eastAsia"/>
          <w:sz w:val="28"/>
          <w:szCs w:val="28"/>
        </w:rPr>
        <w:t>主要是</w:t>
      </w:r>
      <w:r>
        <w:rPr>
          <w:rFonts w:ascii="仿宋_GB2312" w:eastAsia="仿宋_GB2312" w:hAnsi="仿宋_GB2312" w:cs="仿宋_GB2312" w:hint="eastAsia"/>
          <w:sz w:val="28"/>
          <w:szCs w:val="28"/>
        </w:rPr>
        <w:t>尚未建立专项管理制度规范以及协调有序的监管机制，缺少项目组织形式、监管措施、风险预估与防范、资金使用和支付标准、结项验收、资料归档以及满意度调查等工作要求。</w:t>
      </w:r>
    </w:p>
    <w:p w:rsidR="00B04216" w:rsidRDefault="00A8438D">
      <w:pPr>
        <w:adjustRightInd w:val="0"/>
        <w:snapToGrid w:val="0"/>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）项目效益方面。针对项目效益的相关资料的整理和归集和分析工作还需进一步加强，应及时收集涉及项目效果信息资料并进行分类管理和分析，以更好地反映项目实施的直接效果。</w:t>
      </w:r>
    </w:p>
    <w:p w:rsidR="00B04216" w:rsidRDefault="00A8438D">
      <w:pPr>
        <w:pStyle w:val="a0"/>
        <w:spacing w:line="580" w:lineRule="exact"/>
        <w:ind w:firstLine="56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（六）措施建议（整改措施、下一步工作举措）</w:t>
      </w:r>
    </w:p>
    <w:p w:rsidR="00B04216" w:rsidRDefault="00A8438D">
      <w:pPr>
        <w:adjustRightInd w:val="0"/>
        <w:snapToGrid w:val="0"/>
        <w:spacing w:line="560" w:lineRule="exact"/>
        <w:ind w:firstLineChars="200" w:firstLine="560"/>
        <w:rPr>
          <w:rFonts w:ascii="仿宋_GB2312" w:eastAsia="仿宋_GB2312"/>
          <w:sz w:val="28"/>
          <w:szCs w:val="28"/>
        </w:rPr>
      </w:pPr>
      <w:bookmarkStart w:id="1" w:name="_Toc7490"/>
      <w:bookmarkStart w:id="2" w:name="_Toc18589"/>
      <w:bookmarkStart w:id="3" w:name="_Toc104043940"/>
      <w:bookmarkStart w:id="4" w:name="_Toc7084"/>
      <w:r>
        <w:rPr>
          <w:rFonts w:ascii="仿宋_GB2312" w:eastAsia="仿宋_GB2312" w:hint="eastAsia"/>
          <w:sz w:val="28"/>
          <w:szCs w:val="28"/>
        </w:rPr>
        <w:t>1</w:t>
      </w:r>
      <w:r>
        <w:rPr>
          <w:rFonts w:ascii="仿宋_GB2312" w:eastAsia="仿宋_GB2312"/>
          <w:sz w:val="28"/>
          <w:szCs w:val="28"/>
        </w:rPr>
        <w:t>.</w:t>
      </w:r>
      <w:r>
        <w:rPr>
          <w:rFonts w:ascii="仿宋_GB2312" w:eastAsia="仿宋_GB2312" w:hint="eastAsia"/>
          <w:sz w:val="28"/>
          <w:szCs w:val="28"/>
        </w:rPr>
        <w:t>科学设置绩效指标，加强绩效目标管理的有效性</w:t>
      </w:r>
      <w:bookmarkEnd w:id="1"/>
      <w:bookmarkEnd w:id="2"/>
      <w:bookmarkEnd w:id="3"/>
      <w:bookmarkEnd w:id="4"/>
    </w:p>
    <w:p w:rsidR="00B04216" w:rsidRDefault="00A8438D">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建议在编制绩效指标时，要明确各主要工作任务的功能特性，围绕核心工作，从中概括、提炼出最能反映项目</w:t>
      </w:r>
      <w:r>
        <w:rPr>
          <w:rFonts w:ascii="仿宋_GB2312" w:eastAsia="仿宋_GB2312" w:hint="eastAsia"/>
          <w:sz w:val="28"/>
          <w:szCs w:val="28"/>
        </w:rPr>
        <w:t>预期实现程度的关键性指标，将其确定为相应的绩效指标，并通过收集相关基准数据，确定绩效标准，结合预期进展、预计投入等情况，确定绩效指标的具体数值。</w:t>
      </w:r>
    </w:p>
    <w:p w:rsidR="00B04216" w:rsidRDefault="00A8438D">
      <w:pPr>
        <w:adjustRightInd w:val="0"/>
        <w:snapToGrid w:val="0"/>
        <w:spacing w:line="560" w:lineRule="exact"/>
        <w:ind w:firstLineChars="200" w:firstLine="560"/>
        <w:rPr>
          <w:rFonts w:ascii="仿宋_GB2312" w:eastAsia="仿宋_GB2312"/>
          <w:sz w:val="28"/>
          <w:szCs w:val="28"/>
        </w:rPr>
      </w:pPr>
      <w:bookmarkStart w:id="5" w:name="_Toc4918"/>
      <w:bookmarkStart w:id="6" w:name="_Toc490"/>
      <w:bookmarkStart w:id="7" w:name="_Toc104043941"/>
      <w:bookmarkStart w:id="8" w:name="_Toc7419"/>
      <w:r>
        <w:rPr>
          <w:rFonts w:ascii="仿宋_GB2312" w:eastAsia="仿宋_GB2312" w:hint="eastAsia"/>
          <w:sz w:val="28"/>
          <w:szCs w:val="28"/>
        </w:rPr>
        <w:t>2</w:t>
      </w:r>
      <w:r>
        <w:rPr>
          <w:rFonts w:ascii="仿宋_GB2312" w:eastAsia="仿宋_GB2312"/>
          <w:sz w:val="28"/>
          <w:szCs w:val="28"/>
        </w:rPr>
        <w:t>.</w:t>
      </w:r>
      <w:r>
        <w:rPr>
          <w:rFonts w:ascii="仿宋_GB2312" w:eastAsia="仿宋_GB2312" w:hint="eastAsia"/>
          <w:sz w:val="28"/>
          <w:szCs w:val="28"/>
        </w:rPr>
        <w:t>提高预算编制的科学性，加强财务管理</w:t>
      </w:r>
      <w:bookmarkEnd w:id="5"/>
      <w:bookmarkEnd w:id="6"/>
      <w:bookmarkEnd w:id="7"/>
      <w:bookmarkEnd w:id="8"/>
    </w:p>
    <w:p w:rsidR="00B04216" w:rsidRDefault="00A8438D">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建议单位提高预算编制的科学性，细化各项预算的编制依据和标准，为预算执行打好基础，严格预算执行管理，保证执行与预算一致性。</w:t>
      </w:r>
    </w:p>
    <w:p w:rsidR="00B04216" w:rsidRDefault="00A8438D">
      <w:pPr>
        <w:adjustRightInd w:val="0"/>
        <w:snapToGrid w:val="0"/>
        <w:spacing w:line="560" w:lineRule="exact"/>
        <w:ind w:firstLineChars="200" w:firstLine="560"/>
        <w:rPr>
          <w:rFonts w:ascii="仿宋_GB2312" w:eastAsia="仿宋_GB2312"/>
          <w:sz w:val="28"/>
          <w:szCs w:val="28"/>
        </w:rPr>
      </w:pPr>
      <w:bookmarkStart w:id="9" w:name="_Toc14450"/>
      <w:bookmarkStart w:id="10" w:name="_Toc27855"/>
      <w:bookmarkStart w:id="11" w:name="_Toc104043943"/>
      <w:bookmarkStart w:id="12" w:name="_Toc11365"/>
      <w:r>
        <w:rPr>
          <w:rFonts w:ascii="仿宋_GB2312" w:eastAsia="仿宋_GB2312" w:hint="eastAsia"/>
          <w:sz w:val="28"/>
          <w:szCs w:val="28"/>
        </w:rPr>
        <w:lastRenderedPageBreak/>
        <w:t>3</w:t>
      </w:r>
      <w:r>
        <w:rPr>
          <w:rFonts w:ascii="仿宋_GB2312" w:eastAsia="仿宋_GB2312"/>
          <w:sz w:val="28"/>
          <w:szCs w:val="28"/>
        </w:rPr>
        <w:t>.</w:t>
      </w:r>
      <w:r>
        <w:rPr>
          <w:rFonts w:ascii="仿宋_GB2312" w:eastAsia="仿宋_GB2312" w:hint="eastAsia"/>
          <w:sz w:val="28"/>
          <w:szCs w:val="28"/>
        </w:rPr>
        <w:t>重视收集整理绩效佐证资料，提高项目绩效显示度。</w:t>
      </w:r>
      <w:bookmarkEnd w:id="9"/>
      <w:bookmarkEnd w:id="10"/>
      <w:bookmarkEnd w:id="11"/>
      <w:bookmarkEnd w:id="12"/>
    </w:p>
    <w:p w:rsidR="00B04216" w:rsidRDefault="00A8438D">
      <w:pPr>
        <w:adjustRightInd w:val="0"/>
        <w:snapToGrid w:val="0"/>
        <w:spacing w:line="560" w:lineRule="exact"/>
        <w:ind w:firstLineChars="200" w:firstLine="560"/>
        <w:rPr>
          <w:rFonts w:ascii="仿宋_GB2312" w:eastAsia="仿宋_GB2312"/>
          <w:sz w:val="28"/>
          <w:szCs w:val="28"/>
        </w:rPr>
      </w:pPr>
      <w:r>
        <w:rPr>
          <w:rFonts w:ascii="仿宋_GB2312" w:eastAsia="仿宋_GB2312"/>
          <w:sz w:val="28"/>
          <w:szCs w:val="28"/>
        </w:rPr>
        <w:t>建议项目在今后的工作中更加注重绩效佐证资料</w:t>
      </w:r>
      <w:r>
        <w:rPr>
          <w:rFonts w:ascii="仿宋_GB2312" w:eastAsia="仿宋_GB2312" w:hint="eastAsia"/>
          <w:sz w:val="28"/>
          <w:szCs w:val="28"/>
        </w:rPr>
        <w:t>的整理和分析，以各类政策文件和行动计划的总体目标为出发点，对比各年度数据，</w:t>
      </w:r>
      <w:r>
        <w:rPr>
          <w:rFonts w:ascii="仿宋_GB2312" w:eastAsia="仿宋_GB2312"/>
          <w:sz w:val="28"/>
          <w:szCs w:val="28"/>
        </w:rPr>
        <w:t>为绩效</w:t>
      </w:r>
      <w:r>
        <w:rPr>
          <w:rFonts w:ascii="仿宋_GB2312" w:eastAsia="仿宋_GB2312" w:hint="eastAsia"/>
          <w:sz w:val="28"/>
          <w:szCs w:val="28"/>
        </w:rPr>
        <w:t>呈现</w:t>
      </w:r>
      <w:r>
        <w:rPr>
          <w:rFonts w:ascii="仿宋_GB2312" w:eastAsia="仿宋_GB2312"/>
          <w:sz w:val="28"/>
          <w:szCs w:val="28"/>
        </w:rPr>
        <w:t>提供更加全面的支撑。</w:t>
      </w:r>
    </w:p>
    <w:p w:rsidR="00B04216" w:rsidRDefault="00B04216"/>
    <w:sectPr w:rsidR="00B04216" w:rsidSect="00B04216">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5134"/>
    <w:rsid w:val="000248F6"/>
    <w:rsid w:val="00174B32"/>
    <w:rsid w:val="00395CE2"/>
    <w:rsid w:val="00584ACD"/>
    <w:rsid w:val="005C4BEA"/>
    <w:rsid w:val="00712475"/>
    <w:rsid w:val="00865BE5"/>
    <w:rsid w:val="008813DD"/>
    <w:rsid w:val="008C5134"/>
    <w:rsid w:val="00977F69"/>
    <w:rsid w:val="00991A77"/>
    <w:rsid w:val="00A8438D"/>
    <w:rsid w:val="00B04216"/>
    <w:rsid w:val="00C9735E"/>
    <w:rsid w:val="00D367ED"/>
    <w:rsid w:val="00D86415"/>
    <w:rsid w:val="00F479FF"/>
    <w:rsid w:val="0584263D"/>
    <w:rsid w:val="0EDD07DC"/>
    <w:rsid w:val="17CC1574"/>
    <w:rsid w:val="1C9059A5"/>
    <w:rsid w:val="35666152"/>
    <w:rsid w:val="44210BAB"/>
    <w:rsid w:val="4E167E28"/>
    <w:rsid w:val="6B667D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04216"/>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B04216"/>
    <w:pPr>
      <w:ind w:firstLineChars="200" w:firstLine="200"/>
    </w:pPr>
  </w:style>
  <w:style w:type="paragraph" w:styleId="a4">
    <w:name w:val="footer"/>
    <w:basedOn w:val="a"/>
    <w:link w:val="Char"/>
    <w:uiPriority w:val="99"/>
    <w:semiHidden/>
    <w:unhideWhenUsed/>
    <w:qFormat/>
    <w:rsid w:val="00B04216"/>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semiHidden/>
    <w:unhideWhenUsed/>
    <w:qFormat/>
    <w:rsid w:val="00B042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1"/>
    <w:link w:val="a5"/>
    <w:uiPriority w:val="99"/>
    <w:semiHidden/>
    <w:qFormat/>
    <w:rsid w:val="00B04216"/>
    <w:rPr>
      <w:sz w:val="18"/>
      <w:szCs w:val="18"/>
    </w:rPr>
  </w:style>
  <w:style w:type="character" w:customStyle="1" w:styleId="Char">
    <w:name w:val="页脚 Char"/>
    <w:basedOn w:val="a1"/>
    <w:link w:val="a4"/>
    <w:uiPriority w:val="99"/>
    <w:semiHidden/>
    <w:qFormat/>
    <w:rsid w:val="00B04216"/>
    <w:rPr>
      <w:sz w:val="18"/>
      <w:szCs w:val="18"/>
    </w:rPr>
  </w:style>
  <w:style w:type="paragraph" w:customStyle="1" w:styleId="TableParagraph">
    <w:name w:val="Table Paragraph"/>
    <w:basedOn w:val="a"/>
    <w:uiPriority w:val="1"/>
    <w:qFormat/>
    <w:rsid w:val="00B04216"/>
    <w:pPr>
      <w:autoSpaceDE w:val="0"/>
      <w:autoSpaceDN w:val="0"/>
      <w:jc w:val="center"/>
    </w:pPr>
    <w:rPr>
      <w:rFonts w:ascii="宋体" w:hAnsi="宋体" w:cs="宋体"/>
      <w:kern w:val="0"/>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1337</Words>
  <Characters>7626</Characters>
  <Application>Microsoft Office Word</Application>
  <DocSecurity>0</DocSecurity>
  <Lines>63</Lines>
  <Paragraphs>17</Paragraphs>
  <ScaleCrop>false</ScaleCrop>
  <Company/>
  <LinksUpToDate>false</LinksUpToDate>
  <CharactersWithSpaces>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xzjd</cp:lastModifiedBy>
  <cp:revision>5</cp:revision>
  <dcterms:created xsi:type="dcterms:W3CDTF">2022-06-10T09:09:00Z</dcterms:created>
  <dcterms:modified xsi:type="dcterms:W3CDTF">2022-08-25T08:51:00Z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