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560" w:firstLineChars="200"/>
        <w:jc w:val="center"/>
        <w:rPr>
          <w:rFonts w:hint="eastAsia" w:ascii="黑体" w:eastAsia="黑体"/>
          <w:sz w:val="28"/>
          <w:szCs w:val="28"/>
        </w:rPr>
      </w:pPr>
      <w:r>
        <w:rPr>
          <w:rFonts w:hint="eastAsia" w:ascii="黑体" w:eastAsia="黑体"/>
          <w:sz w:val="28"/>
          <w:szCs w:val="28"/>
        </w:rPr>
        <w:t>改革督察第三方评估经费项目支出绩效评价报告</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（一）基本情况</w:t>
      </w:r>
    </w:p>
    <w:p>
      <w:pPr>
        <w:spacing w:line="580" w:lineRule="exact"/>
        <w:ind w:firstLine="560" w:firstLineChars="200"/>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1.项目概况。包括项目背景、主要内容及实施情况、资金投入和使用情况等。</w:t>
      </w:r>
    </w:p>
    <w:p>
      <w:pPr>
        <w:pStyle w:val="2"/>
        <w:spacing w:line="580" w:lineRule="exact"/>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r>
        <w:rPr>
          <w:rFonts w:ascii="仿宋_GB2312" w:hAnsi="仿宋_GB2312" w:eastAsia="仿宋_GB2312" w:cs="仿宋_GB2312"/>
          <w:color w:val="000000"/>
          <w:kern w:val="0"/>
          <w:sz w:val="28"/>
          <w:szCs w:val="28"/>
        </w:rPr>
        <w:t>项目背</w:t>
      </w:r>
      <w:r>
        <w:rPr>
          <w:rFonts w:hint="eastAsia" w:ascii="仿宋_GB2312" w:hAnsi="仿宋_GB2312" w:eastAsia="仿宋_GB2312" w:cs="仿宋_GB2312"/>
          <w:color w:val="000000"/>
          <w:kern w:val="0"/>
          <w:sz w:val="28"/>
          <w:szCs w:val="28"/>
        </w:rPr>
        <w:t>景</w:t>
      </w:r>
    </w:p>
    <w:p>
      <w:pPr>
        <w:pStyle w:val="2"/>
        <w:spacing w:line="580" w:lineRule="exact"/>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为落实市委关于</w:t>
      </w:r>
      <w:r>
        <w:rPr>
          <w:rFonts w:ascii="仿宋_GB2312" w:hAnsi="仿宋_GB2312" w:eastAsia="仿宋_GB2312" w:cs="仿宋_GB2312"/>
          <w:color w:val="000000"/>
          <w:kern w:val="0"/>
          <w:sz w:val="28"/>
          <w:szCs w:val="28"/>
        </w:rPr>
        <w:t>加强改革督察</w:t>
      </w:r>
      <w:r>
        <w:rPr>
          <w:rFonts w:hint="eastAsia" w:ascii="仿宋_GB2312" w:hAnsi="仿宋_GB2312" w:eastAsia="仿宋_GB2312" w:cs="仿宋_GB2312"/>
          <w:color w:val="000000"/>
          <w:kern w:val="0"/>
          <w:sz w:val="28"/>
          <w:szCs w:val="28"/>
        </w:rPr>
        <w:t>工作的有关要求，</w:t>
      </w:r>
      <w:r>
        <w:rPr>
          <w:rFonts w:ascii="仿宋_GB2312" w:hAnsi="仿宋_GB2312" w:eastAsia="仿宋_GB2312" w:cs="仿宋_GB2312"/>
          <w:color w:val="000000"/>
          <w:kern w:val="0"/>
          <w:sz w:val="28"/>
          <w:szCs w:val="28"/>
        </w:rPr>
        <w:t>市委改革办加大改革督察力度，聚焦改革落实中的突出困难问题开展督察，把对突出问题的预判、识别、论证、确认等贯穿督察始终，旨在不断提高督察的针对性和有效性；通过引入相关智库机构对已出台的改革方案进行第三方评估，发挥第三方机构的专业性、权威性和客观性，客观了解改革实际进展、成效和问题，为市委科学决策提供参考。</w:t>
      </w:r>
    </w:p>
    <w:p>
      <w:pPr>
        <w:pStyle w:val="2"/>
        <w:spacing w:line="580" w:lineRule="exact"/>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w:t>
      </w:r>
      <w:r>
        <w:rPr>
          <w:rFonts w:ascii="仿宋_GB2312" w:hAnsi="仿宋_GB2312" w:eastAsia="仿宋_GB2312" w:cs="仿宋_GB2312"/>
          <w:color w:val="000000"/>
          <w:kern w:val="0"/>
          <w:sz w:val="28"/>
          <w:szCs w:val="28"/>
        </w:rPr>
        <w:t>、主要内容及实施情况</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市委改革办每年邀请第三方对全市改革出台的新政策执行效果进行社会评估。</w:t>
      </w:r>
      <w:r>
        <w:rPr>
          <w:rFonts w:hint="eastAsia" w:ascii="仿宋_GB2312" w:hAnsi="仿宋_GB2312" w:eastAsia="仿宋_GB2312" w:cs="仿宋_GB2312"/>
          <w:color w:val="000000"/>
          <w:kern w:val="0"/>
          <w:sz w:val="28"/>
          <w:szCs w:val="28"/>
        </w:rPr>
        <w:t>该项目由市委改革办督察处负责具体组织、管理与实施。</w:t>
      </w:r>
    </w:p>
    <w:p>
      <w:pPr>
        <w:pStyle w:val="2"/>
        <w:spacing w:line="580" w:lineRule="exact"/>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w:t>
      </w:r>
      <w:r>
        <w:rPr>
          <w:rFonts w:ascii="仿宋_GB2312" w:hAnsi="仿宋_GB2312" w:eastAsia="仿宋_GB2312" w:cs="仿宋_GB2312"/>
          <w:color w:val="000000"/>
          <w:kern w:val="0"/>
          <w:sz w:val="28"/>
          <w:szCs w:val="28"/>
        </w:rPr>
        <w:t>、资金投入和使用情况</w:t>
      </w:r>
    </w:p>
    <w:p>
      <w:pPr>
        <w:pStyle w:val="2"/>
        <w:spacing w:line="580" w:lineRule="exact"/>
        <w:ind w:firstLine="560"/>
        <w:rPr>
          <w:rFonts w:hint="eastAsia"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本项目资金为市级财政资金，202</w:t>
      </w:r>
      <w:r>
        <w:rPr>
          <w:rFonts w:hint="eastAsia" w:ascii="仿宋_GB2312" w:hAnsi="仿宋_GB2312" w:eastAsia="仿宋_GB2312" w:cs="仿宋_GB2312"/>
          <w:color w:val="000000"/>
          <w:kern w:val="0"/>
          <w:sz w:val="28"/>
          <w:szCs w:val="28"/>
        </w:rPr>
        <w:t>1</w:t>
      </w:r>
      <w:r>
        <w:rPr>
          <w:rFonts w:ascii="仿宋_GB2312" w:hAnsi="仿宋_GB2312" w:eastAsia="仿宋_GB2312" w:cs="仿宋_GB2312"/>
          <w:color w:val="000000"/>
          <w:kern w:val="0"/>
          <w:sz w:val="28"/>
          <w:szCs w:val="28"/>
        </w:rPr>
        <w:t>年度本项目年初预算90.00万元；年初预算批复数90.00万元；本项目实际使用财政预</w:t>
      </w:r>
      <w:r>
        <w:rPr>
          <w:rFonts w:hint="eastAsia" w:ascii="仿宋_GB2312" w:hAnsi="仿宋_GB2312" w:eastAsia="仿宋_GB2312" w:cs="仿宋_GB2312"/>
          <w:color w:val="000000"/>
          <w:kern w:val="0"/>
          <w:sz w:val="28"/>
          <w:szCs w:val="28"/>
        </w:rPr>
        <w:t>算</w:t>
      </w:r>
      <w:r>
        <w:rPr>
          <w:rFonts w:ascii="仿宋_GB2312" w:hAnsi="仿宋_GB2312" w:eastAsia="仿宋_GB2312" w:cs="仿宋_GB2312"/>
          <w:color w:val="000000"/>
          <w:kern w:val="0"/>
          <w:sz w:val="28"/>
          <w:szCs w:val="28"/>
        </w:rPr>
        <w:t>资金</w:t>
      </w:r>
      <w:r>
        <w:rPr>
          <w:rFonts w:hint="eastAsia" w:ascii="仿宋_GB2312" w:hAnsi="仿宋_GB2312" w:eastAsia="仿宋_GB2312" w:cs="仿宋_GB2312"/>
          <w:color w:val="000000"/>
          <w:kern w:val="0"/>
          <w:sz w:val="28"/>
          <w:szCs w:val="28"/>
        </w:rPr>
        <w:t>90</w:t>
      </w:r>
      <w:r>
        <w:rPr>
          <w:rFonts w:ascii="仿宋_GB2312" w:hAnsi="仿宋_GB2312" w:eastAsia="仿宋_GB2312" w:cs="仿宋_GB2312"/>
          <w:color w:val="000000"/>
          <w:kern w:val="0"/>
          <w:sz w:val="28"/>
          <w:szCs w:val="28"/>
        </w:rPr>
        <w:t>万元，预算资金执行率100.00%。</w:t>
      </w:r>
    </w:p>
    <w:p>
      <w:pPr>
        <w:pStyle w:val="2"/>
        <w:spacing w:line="580" w:lineRule="exact"/>
        <w:ind w:firstLine="56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2.项目绩效目标。包括总体目标和阶段性目标。</w:t>
      </w:r>
    </w:p>
    <w:p>
      <w:pPr>
        <w:pStyle w:val="2"/>
        <w:spacing w:line="580" w:lineRule="exact"/>
        <w:ind w:firstLine="560"/>
        <w:rPr>
          <w:rFonts w:hint="eastAsia"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市委改革办邀请第三方对全市改革出台的新政策执行效果进行社会评估，评估改革项目不少于6个。</w:t>
      </w:r>
    </w:p>
    <w:p>
      <w:pPr>
        <w:pStyle w:val="2"/>
        <w:spacing w:line="580" w:lineRule="exact"/>
        <w:ind w:firstLine="56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（二）绩效评价工作开展情况</w:t>
      </w:r>
    </w:p>
    <w:p>
      <w:pPr>
        <w:pStyle w:val="2"/>
        <w:spacing w:line="580" w:lineRule="exact"/>
        <w:ind w:firstLine="56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1.绩效评价目的、对象和范围。</w:t>
      </w:r>
    </w:p>
    <w:p>
      <w:pPr>
        <w:pStyle w:val="2"/>
        <w:spacing w:line="580" w:lineRule="exact"/>
        <w:ind w:firstLine="560"/>
        <w:rPr>
          <w:rFonts w:hint="eastAsia"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绩效评价是预算绩效管理框架体系的重要环节，依据设定的绩效目标，运用科学、合理的绩效评价指标、评价标准和评价方法，对项目支出的经济性、效率性、效益性和公平性以及预算资金的投入、使用过程、产出和效果进行客观、公正的测</w:t>
      </w:r>
      <w:r>
        <w:rPr>
          <w:rFonts w:hint="eastAsia" w:ascii="仿宋_GB2312" w:hAnsi="仿宋_GB2312" w:eastAsia="仿宋_GB2312" w:cs="仿宋_GB2312"/>
          <w:color w:val="000000"/>
          <w:kern w:val="0"/>
          <w:sz w:val="28"/>
          <w:szCs w:val="28"/>
        </w:rPr>
        <w:t>量</w:t>
      </w:r>
      <w:r>
        <w:rPr>
          <w:rFonts w:ascii="仿宋_GB2312" w:hAnsi="仿宋_GB2312" w:eastAsia="仿宋_GB2312" w:cs="仿宋_GB2312"/>
          <w:color w:val="000000"/>
          <w:kern w:val="0"/>
          <w:sz w:val="28"/>
          <w:szCs w:val="28"/>
        </w:rPr>
        <w:t>、分析和评判，查找项目资金使用和管理中的</w:t>
      </w:r>
      <w:r>
        <w:rPr>
          <w:rFonts w:hint="eastAsia" w:ascii="仿宋_GB2312" w:hAnsi="仿宋_GB2312" w:eastAsia="仿宋_GB2312" w:cs="仿宋_GB2312"/>
          <w:color w:val="000000"/>
          <w:kern w:val="0"/>
          <w:sz w:val="28"/>
          <w:szCs w:val="28"/>
        </w:rPr>
        <w:t>薄</w:t>
      </w:r>
      <w:r>
        <w:rPr>
          <w:rFonts w:ascii="仿宋_GB2312" w:hAnsi="仿宋_GB2312" w:eastAsia="仿宋_GB2312" w:cs="仿宋_GB2312"/>
          <w:color w:val="000000"/>
          <w:kern w:val="0"/>
          <w:sz w:val="28"/>
          <w:szCs w:val="28"/>
        </w:rPr>
        <w:t>弱环节，为工作的改进和提高提供依据，提高财政资金的使用效率。</w:t>
      </w:r>
    </w:p>
    <w:p>
      <w:pPr>
        <w:pStyle w:val="2"/>
        <w:spacing w:line="580" w:lineRule="exact"/>
        <w:ind w:firstLine="56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2.绩效评价原则、评价指标体系（附表说明）、评价方法、评价标准等。</w:t>
      </w:r>
    </w:p>
    <w:p>
      <w:pPr>
        <w:pStyle w:val="2"/>
        <w:spacing w:line="580" w:lineRule="exact"/>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r>
        <w:rPr>
          <w:rFonts w:ascii="仿宋_GB2312" w:hAnsi="仿宋_GB2312" w:eastAsia="仿宋_GB2312" w:cs="仿宋_GB2312"/>
          <w:color w:val="000000"/>
          <w:kern w:val="0"/>
          <w:sz w:val="28"/>
          <w:szCs w:val="28"/>
        </w:rPr>
        <w:t>绩效评价基本原则和评价方法</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根据《北京市项目支出绩效评价管理办法》（京财绩效(2020)2146号）的要求，迎循“科学公正、统筹兼顾、激励约束、公开透明”原则，项目主要运用比较法，对绩效目标与实施效果进行比较；运用公众评判法，通过专家评估对财政支出效果进行评判，综合分析评价绩效目标实现程度。</w:t>
      </w:r>
    </w:p>
    <w:p>
      <w:pPr>
        <w:pStyle w:val="2"/>
        <w:spacing w:line="580" w:lineRule="exact"/>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w:t>
      </w:r>
      <w:r>
        <w:rPr>
          <w:rFonts w:ascii="仿宋_GB2312" w:hAnsi="仿宋_GB2312" w:eastAsia="仿宋_GB2312" w:cs="仿宋_GB2312"/>
          <w:color w:val="000000"/>
          <w:kern w:val="0"/>
          <w:sz w:val="28"/>
          <w:szCs w:val="28"/>
        </w:rPr>
        <w:t>评价指标体系</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绩效评价工作组与评价专家组根据项目的内容及特点，共同确定了本项目的绩效评价指标体系，评价指标的权重根据各项指标在评价体系中的重要程度确定，项目决策权重占10%,项目管理权重占20%,项目产出权重占40%,项目效益权重占30%。</w:t>
      </w:r>
    </w:p>
    <w:p>
      <w:pPr>
        <w:pStyle w:val="2"/>
        <w:spacing w:line="580" w:lineRule="exact"/>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w:t>
      </w:r>
      <w:r>
        <w:rPr>
          <w:rFonts w:ascii="仿宋_GB2312" w:hAnsi="仿宋_GB2312" w:eastAsia="仿宋_GB2312" w:cs="仿宋_GB2312"/>
          <w:color w:val="000000"/>
          <w:kern w:val="0"/>
          <w:sz w:val="28"/>
          <w:szCs w:val="28"/>
        </w:rPr>
        <w:t>评价标准</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本项目主要采用计划标准，以预先制定的目标、预</w:t>
      </w:r>
      <w:r>
        <w:rPr>
          <w:rFonts w:hint="eastAsia" w:ascii="仿宋_GB2312" w:hAnsi="仿宋_GB2312" w:eastAsia="仿宋_GB2312" w:cs="仿宋_GB2312"/>
          <w:color w:val="000000"/>
          <w:kern w:val="0"/>
          <w:sz w:val="28"/>
          <w:szCs w:val="28"/>
        </w:rPr>
        <w:t>算</w:t>
      </w:r>
      <w:r>
        <w:rPr>
          <w:rFonts w:ascii="仿宋_GB2312" w:hAnsi="仿宋_GB2312" w:eastAsia="仿宋_GB2312" w:cs="仿宋_GB2312"/>
          <w:color w:val="000000"/>
          <w:kern w:val="0"/>
          <w:sz w:val="28"/>
          <w:szCs w:val="28"/>
        </w:rPr>
        <w:t>作为评价标准，对项目实施效果进行评价。</w:t>
      </w:r>
    </w:p>
    <w:p>
      <w:pPr>
        <w:pStyle w:val="2"/>
        <w:spacing w:line="580" w:lineRule="exact"/>
        <w:ind w:firstLine="56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3.绩效评价工作过程。</w:t>
      </w:r>
    </w:p>
    <w:p>
      <w:pPr>
        <w:pStyle w:val="2"/>
        <w:spacing w:line="580" w:lineRule="exact"/>
        <w:ind w:firstLine="56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单位自评</w:t>
      </w:r>
    </w:p>
    <w:p>
      <w:pPr>
        <w:pStyle w:val="2"/>
        <w:spacing w:line="580" w:lineRule="exact"/>
        <w:ind w:firstLine="560"/>
        <w:rPr>
          <w:rFonts w:hint="eastAsia" w:ascii="仿宋_GB2312" w:hAnsi="仿宋_GB2312" w:eastAsia="仿宋_GB2312" w:cs="仿宋_GB2312"/>
          <w:color w:val="000000"/>
          <w:kern w:val="0"/>
          <w:sz w:val="28"/>
          <w:szCs w:val="28"/>
        </w:rPr>
      </w:pPr>
    </w:p>
    <w:p>
      <w:pPr>
        <w:pStyle w:val="2"/>
        <w:spacing w:line="580" w:lineRule="exact"/>
        <w:ind w:firstLine="560"/>
        <w:rPr>
          <w:rFonts w:hint="eastAsia" w:ascii="仿宋_GB2312" w:hAnsi="仿宋_GB2312" w:eastAsia="仿宋_GB2312" w:cs="仿宋_GB2312"/>
          <w:color w:val="000000"/>
          <w:kern w:val="0"/>
          <w:sz w:val="28"/>
          <w:szCs w:val="28"/>
        </w:rPr>
      </w:pPr>
    </w:p>
    <w:p>
      <w:pPr>
        <w:pStyle w:val="2"/>
        <w:spacing w:line="580" w:lineRule="exact"/>
        <w:ind w:firstLine="56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（三）综合评价情况及评价结论（附相关评分表）</w:t>
      </w:r>
    </w:p>
    <w:tbl>
      <w:tblPr>
        <w:tblStyle w:val="5"/>
        <w:tblW w:w="8758" w:type="dxa"/>
        <w:tblInd w:w="7" w:type="dxa"/>
        <w:tblBorders>
          <w:top w:val="single" w:color="000000" w:sz="6" w:space="0"/>
          <w:left w:val="none" w:color="auto" w:sz="0" w:space="0"/>
          <w:bottom w:val="single" w:color="000000" w:sz="6" w:space="0"/>
          <w:right w:val="single" w:color="000000" w:sz="6" w:space="0"/>
          <w:insideH w:val="single" w:color="000000" w:sz="6" w:space="0"/>
          <w:insideV w:val="none" w:color="auto" w:sz="0" w:space="0"/>
        </w:tblBorders>
        <w:tblLayout w:type="fixed"/>
        <w:tblCellMar>
          <w:top w:w="0" w:type="dxa"/>
          <w:left w:w="0" w:type="dxa"/>
          <w:bottom w:w="0" w:type="dxa"/>
          <w:right w:w="0" w:type="dxa"/>
        </w:tblCellMar>
      </w:tblPr>
      <w:tblGrid>
        <w:gridCol w:w="2595"/>
        <w:gridCol w:w="2077"/>
        <w:gridCol w:w="688"/>
        <w:gridCol w:w="738"/>
        <w:gridCol w:w="2660"/>
      </w:tblGrid>
      <w:tr>
        <w:tblPrEx>
          <w:tblBorders>
            <w:top w:val="single" w:color="000000" w:sz="6" w:space="0"/>
            <w:left w:val="none" w:color="auto" w:sz="0" w:space="0"/>
            <w:bottom w:val="single" w:color="000000" w:sz="6" w:space="0"/>
            <w:right w:val="single" w:color="000000" w:sz="6" w:space="0"/>
            <w:insideH w:val="single" w:color="000000" w:sz="6" w:space="0"/>
            <w:insideV w:val="none" w:color="auto" w:sz="0" w:space="0"/>
          </w:tblBorders>
          <w:tblCellMar>
            <w:top w:w="0" w:type="dxa"/>
            <w:left w:w="0" w:type="dxa"/>
            <w:bottom w:w="0" w:type="dxa"/>
            <w:right w:w="0" w:type="dxa"/>
          </w:tblCellMar>
        </w:tblPrEx>
        <w:trPr>
          <w:trHeight w:val="753" w:hRule="atLeast"/>
        </w:trPr>
        <w:tc>
          <w:tcPr>
            <w:tcW w:w="2595" w:type="dxa"/>
            <w:tcBorders>
              <w:left w:val="single" w:color="auto" w:sz="4" w:space="0"/>
              <w:right w:val="single" w:color="auto" w:sz="4" w:space="0"/>
            </w:tcBorders>
          </w:tcPr>
          <w:p>
            <w:pPr>
              <w:pStyle w:val="9"/>
              <w:spacing w:before="117"/>
              <w:ind w:left="211" w:right="839"/>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评价内容</w:t>
            </w:r>
          </w:p>
        </w:tc>
        <w:tc>
          <w:tcPr>
            <w:tcW w:w="2077" w:type="dxa"/>
            <w:tcBorders>
              <w:left w:val="single" w:color="auto" w:sz="4" w:space="0"/>
            </w:tcBorders>
          </w:tcPr>
          <w:p>
            <w:pPr>
              <w:pStyle w:val="9"/>
              <w:spacing w:before="124"/>
              <w:ind w:left="889" w:right="553"/>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分值</w:t>
            </w:r>
          </w:p>
        </w:tc>
        <w:tc>
          <w:tcPr>
            <w:tcW w:w="688" w:type="dxa"/>
            <w:tcBorders>
              <w:right w:val="single" w:color="auto" w:sz="4" w:space="0"/>
            </w:tcBorders>
          </w:tcPr>
          <w:p>
            <w:pPr>
              <w:pStyle w:val="9"/>
              <w:jc w:val="left"/>
              <w:rPr>
                <w:rFonts w:ascii="仿宋_GB2312" w:hAnsi="仿宋_GB2312" w:eastAsia="仿宋_GB2312" w:cs="仿宋_GB2312"/>
                <w:color w:val="000000"/>
                <w:sz w:val="28"/>
                <w:szCs w:val="28"/>
                <w:lang w:eastAsia="zh-CN"/>
              </w:rPr>
            </w:pPr>
          </w:p>
        </w:tc>
        <w:tc>
          <w:tcPr>
            <w:tcW w:w="738" w:type="dxa"/>
            <w:tcBorders>
              <w:left w:val="single" w:color="auto" w:sz="4" w:space="0"/>
            </w:tcBorders>
          </w:tcPr>
          <w:p>
            <w:pPr>
              <w:pStyle w:val="9"/>
              <w:jc w:val="left"/>
              <w:rPr>
                <w:rFonts w:ascii="仿宋_GB2312" w:hAnsi="仿宋_GB2312" w:eastAsia="仿宋_GB2312" w:cs="仿宋_GB2312"/>
                <w:color w:val="000000"/>
                <w:sz w:val="28"/>
                <w:szCs w:val="28"/>
                <w:lang w:eastAsia="zh-CN"/>
              </w:rPr>
            </w:pPr>
          </w:p>
        </w:tc>
        <w:tc>
          <w:tcPr>
            <w:tcW w:w="2660" w:type="dxa"/>
          </w:tcPr>
          <w:p>
            <w:pPr>
              <w:pStyle w:val="9"/>
              <w:spacing w:before="131"/>
              <w:ind w:left="511" w:right="1035"/>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评价得分</w:t>
            </w:r>
          </w:p>
        </w:tc>
      </w:tr>
      <w:tr>
        <w:tblPrEx>
          <w:tblBorders>
            <w:top w:val="single" w:color="000000" w:sz="6" w:space="0"/>
            <w:left w:val="none" w:color="auto" w:sz="0" w:space="0"/>
            <w:bottom w:val="single" w:color="000000" w:sz="6" w:space="0"/>
            <w:right w:val="single" w:color="000000" w:sz="6" w:space="0"/>
            <w:insideH w:val="single" w:color="000000" w:sz="6" w:space="0"/>
            <w:insideV w:val="none" w:color="auto" w:sz="0" w:space="0"/>
          </w:tblBorders>
          <w:tblCellMar>
            <w:top w:w="0" w:type="dxa"/>
            <w:left w:w="0" w:type="dxa"/>
            <w:bottom w:w="0" w:type="dxa"/>
            <w:right w:w="0" w:type="dxa"/>
          </w:tblCellMar>
        </w:tblPrEx>
        <w:trPr>
          <w:trHeight w:val="740" w:hRule="atLeast"/>
        </w:trPr>
        <w:tc>
          <w:tcPr>
            <w:tcW w:w="2595" w:type="dxa"/>
            <w:tcBorders>
              <w:left w:val="single" w:color="auto" w:sz="4" w:space="0"/>
              <w:right w:val="single" w:color="auto" w:sz="4" w:space="0"/>
            </w:tcBorders>
          </w:tcPr>
          <w:p>
            <w:pPr>
              <w:pStyle w:val="9"/>
              <w:spacing w:before="117"/>
              <w:ind w:left="211" w:right="847"/>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项目决策</w:t>
            </w:r>
          </w:p>
        </w:tc>
        <w:tc>
          <w:tcPr>
            <w:tcW w:w="2077" w:type="dxa"/>
            <w:tcBorders>
              <w:left w:val="single" w:color="auto" w:sz="4" w:space="0"/>
            </w:tcBorders>
          </w:tcPr>
          <w:p>
            <w:pPr>
              <w:pStyle w:val="9"/>
              <w:spacing w:before="100"/>
              <w:ind w:left="874" w:right="553"/>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10</w:t>
            </w:r>
          </w:p>
        </w:tc>
        <w:tc>
          <w:tcPr>
            <w:tcW w:w="688" w:type="dxa"/>
            <w:tcBorders>
              <w:right w:val="single" w:color="auto" w:sz="4" w:space="0"/>
            </w:tcBorders>
          </w:tcPr>
          <w:p>
            <w:pPr>
              <w:pStyle w:val="9"/>
              <w:jc w:val="left"/>
              <w:rPr>
                <w:rFonts w:hint="eastAsia" w:ascii="仿宋_GB2312" w:hAnsi="仿宋_GB2312" w:eastAsia="仿宋_GB2312" w:cs="仿宋_GB2312"/>
                <w:color w:val="000000"/>
                <w:sz w:val="28"/>
                <w:szCs w:val="28"/>
                <w:lang w:eastAsia="zh-CN"/>
              </w:rPr>
            </w:pPr>
          </w:p>
        </w:tc>
        <w:tc>
          <w:tcPr>
            <w:tcW w:w="738" w:type="dxa"/>
            <w:tcBorders>
              <w:left w:val="single" w:color="auto" w:sz="4" w:space="0"/>
            </w:tcBorders>
          </w:tcPr>
          <w:p>
            <w:pPr>
              <w:pStyle w:val="9"/>
              <w:jc w:val="left"/>
              <w:rPr>
                <w:rFonts w:ascii="仿宋_GB2312" w:hAnsi="仿宋_GB2312" w:eastAsia="仿宋_GB2312" w:cs="仿宋_GB2312"/>
                <w:color w:val="000000"/>
                <w:sz w:val="28"/>
                <w:szCs w:val="28"/>
                <w:lang w:eastAsia="zh-CN"/>
              </w:rPr>
            </w:pPr>
          </w:p>
        </w:tc>
        <w:tc>
          <w:tcPr>
            <w:tcW w:w="2660" w:type="dxa"/>
          </w:tcPr>
          <w:p>
            <w:pPr>
              <w:pStyle w:val="9"/>
              <w:spacing w:before="115"/>
              <w:ind w:left="511" w:right="1030"/>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10</w:t>
            </w:r>
          </w:p>
        </w:tc>
      </w:tr>
      <w:tr>
        <w:tblPrEx>
          <w:tblBorders>
            <w:top w:val="single" w:color="000000" w:sz="6" w:space="0"/>
            <w:left w:val="none" w:color="auto" w:sz="0" w:space="0"/>
            <w:bottom w:val="single" w:color="000000" w:sz="6" w:space="0"/>
            <w:right w:val="single" w:color="000000" w:sz="6" w:space="0"/>
            <w:insideH w:val="single" w:color="000000" w:sz="6" w:space="0"/>
            <w:insideV w:val="none" w:color="auto" w:sz="0" w:space="0"/>
          </w:tblBorders>
          <w:tblCellMar>
            <w:top w:w="0" w:type="dxa"/>
            <w:left w:w="0" w:type="dxa"/>
            <w:bottom w:w="0" w:type="dxa"/>
            <w:right w:w="0" w:type="dxa"/>
          </w:tblCellMar>
        </w:tblPrEx>
        <w:trPr>
          <w:trHeight w:val="740" w:hRule="atLeast"/>
        </w:trPr>
        <w:tc>
          <w:tcPr>
            <w:tcW w:w="2595" w:type="dxa"/>
            <w:tcBorders>
              <w:left w:val="single" w:color="auto" w:sz="4" w:space="0"/>
              <w:right w:val="single" w:color="auto" w:sz="4" w:space="0"/>
            </w:tcBorders>
          </w:tcPr>
          <w:p>
            <w:pPr>
              <w:pStyle w:val="9"/>
              <w:spacing w:before="117"/>
              <w:ind w:left="211" w:right="847"/>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项目过程</w:t>
            </w:r>
          </w:p>
        </w:tc>
        <w:tc>
          <w:tcPr>
            <w:tcW w:w="2077" w:type="dxa"/>
            <w:tcBorders>
              <w:left w:val="single" w:color="auto" w:sz="4" w:space="0"/>
            </w:tcBorders>
          </w:tcPr>
          <w:p>
            <w:pPr>
              <w:pStyle w:val="9"/>
              <w:spacing w:before="108"/>
              <w:ind w:left="882" w:right="553"/>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20</w:t>
            </w:r>
          </w:p>
        </w:tc>
        <w:tc>
          <w:tcPr>
            <w:tcW w:w="688" w:type="dxa"/>
            <w:tcBorders>
              <w:right w:val="single" w:color="auto" w:sz="4" w:space="0"/>
            </w:tcBorders>
          </w:tcPr>
          <w:p>
            <w:pPr>
              <w:pStyle w:val="9"/>
              <w:jc w:val="left"/>
              <w:rPr>
                <w:rFonts w:ascii="仿宋_GB2312" w:hAnsi="仿宋_GB2312" w:eastAsia="仿宋_GB2312" w:cs="仿宋_GB2312"/>
                <w:color w:val="000000"/>
                <w:sz w:val="28"/>
                <w:szCs w:val="28"/>
                <w:lang w:eastAsia="zh-CN"/>
              </w:rPr>
            </w:pPr>
          </w:p>
        </w:tc>
        <w:tc>
          <w:tcPr>
            <w:tcW w:w="738" w:type="dxa"/>
            <w:tcBorders>
              <w:left w:val="single" w:color="auto" w:sz="4" w:space="0"/>
            </w:tcBorders>
          </w:tcPr>
          <w:p>
            <w:pPr>
              <w:pStyle w:val="9"/>
              <w:jc w:val="left"/>
              <w:rPr>
                <w:rFonts w:ascii="仿宋_GB2312" w:hAnsi="仿宋_GB2312" w:eastAsia="仿宋_GB2312" w:cs="仿宋_GB2312"/>
                <w:color w:val="000000"/>
                <w:sz w:val="28"/>
                <w:szCs w:val="28"/>
                <w:lang w:eastAsia="zh-CN"/>
              </w:rPr>
            </w:pPr>
          </w:p>
        </w:tc>
        <w:tc>
          <w:tcPr>
            <w:tcW w:w="2660" w:type="dxa"/>
          </w:tcPr>
          <w:p>
            <w:pPr>
              <w:pStyle w:val="9"/>
              <w:spacing w:before="115"/>
              <w:ind w:left="511" w:right="1027"/>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20</w:t>
            </w:r>
          </w:p>
        </w:tc>
      </w:tr>
      <w:tr>
        <w:tblPrEx>
          <w:tblBorders>
            <w:top w:val="single" w:color="000000" w:sz="6" w:space="0"/>
            <w:left w:val="none" w:color="auto" w:sz="0" w:space="0"/>
            <w:bottom w:val="single" w:color="000000" w:sz="6" w:space="0"/>
            <w:right w:val="single" w:color="000000" w:sz="6" w:space="0"/>
            <w:insideH w:val="single" w:color="000000" w:sz="6" w:space="0"/>
            <w:insideV w:val="none" w:color="auto" w:sz="0" w:space="0"/>
          </w:tblBorders>
          <w:tblCellMar>
            <w:top w:w="0" w:type="dxa"/>
            <w:left w:w="0" w:type="dxa"/>
            <w:bottom w:w="0" w:type="dxa"/>
            <w:right w:w="0" w:type="dxa"/>
          </w:tblCellMar>
        </w:tblPrEx>
        <w:trPr>
          <w:trHeight w:val="740" w:hRule="atLeast"/>
        </w:trPr>
        <w:tc>
          <w:tcPr>
            <w:tcW w:w="2595" w:type="dxa"/>
            <w:tcBorders>
              <w:left w:val="single" w:color="auto" w:sz="4" w:space="0"/>
              <w:right w:val="single" w:color="auto" w:sz="4" w:space="0"/>
            </w:tcBorders>
          </w:tcPr>
          <w:p>
            <w:pPr>
              <w:pStyle w:val="9"/>
              <w:spacing w:before="117"/>
              <w:ind w:left="211" w:right="855"/>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项目产出</w:t>
            </w:r>
          </w:p>
        </w:tc>
        <w:tc>
          <w:tcPr>
            <w:tcW w:w="2077" w:type="dxa"/>
            <w:tcBorders>
              <w:left w:val="single" w:color="auto" w:sz="4" w:space="0"/>
            </w:tcBorders>
          </w:tcPr>
          <w:p>
            <w:pPr>
              <w:pStyle w:val="9"/>
              <w:spacing w:before="108"/>
              <w:ind w:left="879" w:right="553"/>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40</w:t>
            </w:r>
          </w:p>
        </w:tc>
        <w:tc>
          <w:tcPr>
            <w:tcW w:w="688" w:type="dxa"/>
            <w:tcBorders>
              <w:right w:val="single" w:color="auto" w:sz="4" w:space="0"/>
            </w:tcBorders>
          </w:tcPr>
          <w:p>
            <w:pPr>
              <w:pStyle w:val="9"/>
              <w:jc w:val="left"/>
              <w:rPr>
                <w:rFonts w:ascii="仿宋_GB2312" w:hAnsi="仿宋_GB2312" w:eastAsia="仿宋_GB2312" w:cs="仿宋_GB2312"/>
                <w:color w:val="000000"/>
                <w:sz w:val="28"/>
                <w:szCs w:val="28"/>
                <w:lang w:eastAsia="zh-CN"/>
              </w:rPr>
            </w:pPr>
          </w:p>
        </w:tc>
        <w:tc>
          <w:tcPr>
            <w:tcW w:w="738" w:type="dxa"/>
            <w:tcBorders>
              <w:left w:val="single" w:color="auto" w:sz="4" w:space="0"/>
            </w:tcBorders>
          </w:tcPr>
          <w:p>
            <w:pPr>
              <w:pStyle w:val="9"/>
              <w:jc w:val="left"/>
              <w:rPr>
                <w:rFonts w:ascii="仿宋_GB2312" w:hAnsi="仿宋_GB2312" w:eastAsia="仿宋_GB2312" w:cs="仿宋_GB2312"/>
                <w:color w:val="000000"/>
                <w:sz w:val="28"/>
                <w:szCs w:val="28"/>
                <w:lang w:eastAsia="zh-CN"/>
              </w:rPr>
            </w:pPr>
          </w:p>
        </w:tc>
        <w:tc>
          <w:tcPr>
            <w:tcW w:w="2660" w:type="dxa"/>
          </w:tcPr>
          <w:p>
            <w:pPr>
              <w:pStyle w:val="9"/>
              <w:spacing w:before="115"/>
              <w:ind w:left="511" w:right="1011"/>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40</w:t>
            </w:r>
          </w:p>
        </w:tc>
      </w:tr>
      <w:tr>
        <w:tblPrEx>
          <w:tblBorders>
            <w:top w:val="single" w:color="000000" w:sz="6" w:space="0"/>
            <w:left w:val="none" w:color="auto" w:sz="0" w:space="0"/>
            <w:bottom w:val="single" w:color="000000" w:sz="6" w:space="0"/>
            <w:right w:val="single" w:color="000000" w:sz="6" w:space="0"/>
            <w:insideH w:val="single" w:color="000000" w:sz="6" w:space="0"/>
            <w:insideV w:val="none" w:color="auto" w:sz="0" w:space="0"/>
          </w:tblBorders>
          <w:tblCellMar>
            <w:top w:w="0" w:type="dxa"/>
            <w:left w:w="0" w:type="dxa"/>
            <w:bottom w:w="0" w:type="dxa"/>
            <w:right w:w="0" w:type="dxa"/>
          </w:tblCellMar>
        </w:tblPrEx>
        <w:trPr>
          <w:trHeight w:val="636" w:hRule="atLeast"/>
        </w:trPr>
        <w:tc>
          <w:tcPr>
            <w:tcW w:w="2595" w:type="dxa"/>
            <w:tcBorders>
              <w:left w:val="single" w:color="auto" w:sz="4" w:space="0"/>
              <w:right w:val="single" w:color="auto" w:sz="4" w:space="0"/>
            </w:tcBorders>
          </w:tcPr>
          <w:p>
            <w:pPr>
              <w:pStyle w:val="9"/>
              <w:spacing w:before="117"/>
              <w:ind w:left="211" w:right="855"/>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项目效益</w:t>
            </w:r>
          </w:p>
        </w:tc>
        <w:tc>
          <w:tcPr>
            <w:tcW w:w="2077" w:type="dxa"/>
            <w:tcBorders>
              <w:left w:val="single" w:color="auto" w:sz="4" w:space="0"/>
            </w:tcBorders>
          </w:tcPr>
          <w:p>
            <w:pPr>
              <w:pStyle w:val="9"/>
              <w:spacing w:before="108"/>
              <w:ind w:left="881" w:right="553"/>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30</w:t>
            </w:r>
          </w:p>
        </w:tc>
        <w:tc>
          <w:tcPr>
            <w:tcW w:w="688" w:type="dxa"/>
            <w:tcBorders>
              <w:right w:val="single" w:color="auto" w:sz="4" w:space="0"/>
            </w:tcBorders>
          </w:tcPr>
          <w:p>
            <w:pPr>
              <w:pStyle w:val="9"/>
              <w:jc w:val="left"/>
              <w:rPr>
                <w:rFonts w:ascii="仿宋_GB2312" w:hAnsi="仿宋_GB2312" w:eastAsia="仿宋_GB2312" w:cs="仿宋_GB2312"/>
                <w:color w:val="000000"/>
                <w:sz w:val="28"/>
                <w:szCs w:val="28"/>
                <w:lang w:eastAsia="zh-CN"/>
              </w:rPr>
            </w:pPr>
          </w:p>
        </w:tc>
        <w:tc>
          <w:tcPr>
            <w:tcW w:w="738" w:type="dxa"/>
            <w:tcBorders>
              <w:left w:val="single" w:color="auto" w:sz="4" w:space="0"/>
            </w:tcBorders>
          </w:tcPr>
          <w:p>
            <w:pPr>
              <w:pStyle w:val="9"/>
              <w:jc w:val="left"/>
              <w:rPr>
                <w:rFonts w:ascii="仿宋_GB2312" w:hAnsi="仿宋_GB2312" w:eastAsia="仿宋_GB2312" w:cs="仿宋_GB2312"/>
                <w:color w:val="000000"/>
                <w:sz w:val="28"/>
                <w:szCs w:val="28"/>
                <w:lang w:eastAsia="zh-CN"/>
              </w:rPr>
            </w:pPr>
          </w:p>
        </w:tc>
        <w:tc>
          <w:tcPr>
            <w:tcW w:w="2660" w:type="dxa"/>
          </w:tcPr>
          <w:p>
            <w:pPr>
              <w:pStyle w:val="9"/>
              <w:spacing w:before="115"/>
              <w:ind w:left="511" w:right="1025"/>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25</w:t>
            </w:r>
          </w:p>
        </w:tc>
      </w:tr>
      <w:tr>
        <w:tblPrEx>
          <w:tblBorders>
            <w:top w:val="single" w:color="000000" w:sz="6" w:space="0"/>
            <w:left w:val="none" w:color="auto" w:sz="0" w:space="0"/>
            <w:bottom w:val="single" w:color="000000" w:sz="6" w:space="0"/>
            <w:right w:val="single" w:color="000000" w:sz="6" w:space="0"/>
            <w:insideH w:val="single" w:color="000000" w:sz="6" w:space="0"/>
            <w:insideV w:val="none" w:color="auto" w:sz="0" w:space="0"/>
          </w:tblBorders>
          <w:tblCellMar>
            <w:top w:w="0" w:type="dxa"/>
            <w:left w:w="0" w:type="dxa"/>
            <w:bottom w:w="0" w:type="dxa"/>
            <w:right w:w="0" w:type="dxa"/>
          </w:tblCellMar>
        </w:tblPrEx>
        <w:trPr>
          <w:trHeight w:val="733" w:hRule="atLeast"/>
        </w:trPr>
        <w:tc>
          <w:tcPr>
            <w:tcW w:w="2595" w:type="dxa"/>
            <w:tcBorders>
              <w:left w:val="single" w:color="auto" w:sz="4" w:space="0"/>
              <w:right w:val="single" w:color="auto" w:sz="4" w:space="0"/>
            </w:tcBorders>
          </w:tcPr>
          <w:p>
            <w:pPr>
              <w:pStyle w:val="9"/>
              <w:spacing w:before="110"/>
              <w:ind w:left="211" w:right="853"/>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综合得分</w:t>
            </w:r>
          </w:p>
        </w:tc>
        <w:tc>
          <w:tcPr>
            <w:tcW w:w="2077" w:type="dxa"/>
            <w:tcBorders>
              <w:left w:val="single" w:color="auto" w:sz="4" w:space="0"/>
            </w:tcBorders>
          </w:tcPr>
          <w:p>
            <w:pPr>
              <w:pStyle w:val="9"/>
              <w:spacing w:before="108"/>
              <w:ind w:left="872" w:right="553"/>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100</w:t>
            </w:r>
          </w:p>
        </w:tc>
        <w:tc>
          <w:tcPr>
            <w:tcW w:w="688" w:type="dxa"/>
            <w:tcBorders>
              <w:right w:val="single" w:color="auto" w:sz="4" w:space="0"/>
            </w:tcBorders>
          </w:tcPr>
          <w:p>
            <w:pPr>
              <w:pStyle w:val="9"/>
              <w:jc w:val="left"/>
              <w:rPr>
                <w:rFonts w:ascii="仿宋_GB2312" w:hAnsi="仿宋_GB2312" w:eastAsia="仿宋_GB2312" w:cs="仿宋_GB2312"/>
                <w:color w:val="000000"/>
                <w:sz w:val="28"/>
                <w:szCs w:val="28"/>
                <w:lang w:eastAsia="zh-CN"/>
              </w:rPr>
            </w:pPr>
          </w:p>
        </w:tc>
        <w:tc>
          <w:tcPr>
            <w:tcW w:w="738" w:type="dxa"/>
            <w:tcBorders>
              <w:left w:val="single" w:color="auto" w:sz="4" w:space="0"/>
            </w:tcBorders>
          </w:tcPr>
          <w:p>
            <w:pPr>
              <w:pStyle w:val="9"/>
              <w:jc w:val="left"/>
              <w:rPr>
                <w:rFonts w:ascii="仿宋_GB2312" w:hAnsi="仿宋_GB2312" w:eastAsia="仿宋_GB2312" w:cs="仿宋_GB2312"/>
                <w:color w:val="000000"/>
                <w:sz w:val="28"/>
                <w:szCs w:val="28"/>
                <w:lang w:eastAsia="zh-CN"/>
              </w:rPr>
            </w:pPr>
          </w:p>
        </w:tc>
        <w:tc>
          <w:tcPr>
            <w:tcW w:w="2660" w:type="dxa"/>
          </w:tcPr>
          <w:p>
            <w:pPr>
              <w:pStyle w:val="9"/>
              <w:spacing w:before="108"/>
              <w:ind w:left="507" w:right="1035"/>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95</w:t>
            </w:r>
          </w:p>
        </w:tc>
      </w:tr>
      <w:tr>
        <w:tblPrEx>
          <w:tblBorders>
            <w:top w:val="single" w:color="000000" w:sz="6" w:space="0"/>
            <w:left w:val="none" w:color="auto" w:sz="0" w:space="0"/>
            <w:bottom w:val="single" w:color="000000" w:sz="6" w:space="0"/>
            <w:right w:val="single" w:color="000000" w:sz="6" w:space="0"/>
            <w:insideH w:val="single" w:color="000000" w:sz="6" w:space="0"/>
            <w:insideV w:val="none" w:color="auto" w:sz="0" w:space="0"/>
          </w:tblBorders>
          <w:tblCellMar>
            <w:top w:w="0" w:type="dxa"/>
            <w:left w:w="0" w:type="dxa"/>
            <w:bottom w:w="0" w:type="dxa"/>
            <w:right w:w="0" w:type="dxa"/>
          </w:tblCellMar>
        </w:tblPrEx>
        <w:trPr>
          <w:trHeight w:val="789" w:hRule="atLeast"/>
        </w:trPr>
        <w:tc>
          <w:tcPr>
            <w:tcW w:w="2595" w:type="dxa"/>
            <w:tcBorders>
              <w:left w:val="single" w:color="auto" w:sz="4" w:space="0"/>
              <w:right w:val="single" w:color="auto" w:sz="4" w:space="0"/>
            </w:tcBorders>
          </w:tcPr>
          <w:p>
            <w:pPr>
              <w:pStyle w:val="9"/>
              <w:spacing w:before="153"/>
              <w:ind w:left="211" w:right="865"/>
              <w:rPr>
                <w:rFonts w:ascii="仿宋_GB2312" w:hAnsi="仿宋_GB2312" w:eastAsia="仿宋_GB2312" w:cs="仿宋_GB2312"/>
                <w:color w:val="000000"/>
                <w:sz w:val="28"/>
                <w:szCs w:val="28"/>
                <w:lang w:eastAsia="zh-CN"/>
              </w:rPr>
            </w:pPr>
            <w:r>
              <w:rPr>
                <w:rFonts w:ascii="仿宋_GB2312" w:hAnsi="仿宋_GB2312" w:eastAsia="仿宋_GB2312" w:cs="仿宋_GB2312"/>
                <w:color w:val="000000"/>
                <w:sz w:val="28"/>
                <w:szCs w:val="28"/>
                <w:lang w:eastAsia="zh-CN"/>
              </w:rPr>
              <w:t>绩效评定级别</w:t>
            </w:r>
          </w:p>
        </w:tc>
        <w:tc>
          <w:tcPr>
            <w:tcW w:w="2077" w:type="dxa"/>
            <w:tcBorders>
              <w:left w:val="single" w:color="auto" w:sz="4" w:space="0"/>
            </w:tcBorders>
          </w:tcPr>
          <w:p>
            <w:pPr>
              <w:pStyle w:val="9"/>
              <w:jc w:val="left"/>
              <w:rPr>
                <w:rFonts w:ascii="仿宋_GB2312" w:hAnsi="仿宋_GB2312" w:eastAsia="仿宋_GB2312" w:cs="仿宋_GB2312"/>
                <w:color w:val="000000"/>
                <w:sz w:val="28"/>
                <w:szCs w:val="28"/>
                <w:lang w:eastAsia="zh-CN"/>
              </w:rPr>
            </w:pPr>
          </w:p>
        </w:tc>
        <w:tc>
          <w:tcPr>
            <w:tcW w:w="1426" w:type="dxa"/>
            <w:gridSpan w:val="2"/>
          </w:tcPr>
          <w:p>
            <w:pPr>
              <w:pStyle w:val="9"/>
              <w:spacing w:before="139"/>
              <w:ind w:left="67"/>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优</w:t>
            </w:r>
          </w:p>
        </w:tc>
        <w:tc>
          <w:tcPr>
            <w:tcW w:w="2660" w:type="dxa"/>
          </w:tcPr>
          <w:p>
            <w:pPr>
              <w:pStyle w:val="9"/>
              <w:jc w:val="left"/>
              <w:rPr>
                <w:rFonts w:ascii="仿宋_GB2312" w:hAnsi="仿宋_GB2312" w:eastAsia="仿宋_GB2312" w:cs="仿宋_GB2312"/>
                <w:color w:val="000000"/>
                <w:sz w:val="28"/>
                <w:szCs w:val="28"/>
                <w:lang w:eastAsia="zh-CN"/>
              </w:rPr>
            </w:pPr>
          </w:p>
        </w:tc>
      </w:tr>
    </w:tbl>
    <w:p>
      <w:pPr>
        <w:pStyle w:val="2"/>
        <w:spacing w:line="580" w:lineRule="exact"/>
        <w:ind w:firstLine="0" w:firstLineChars="0"/>
        <w:rPr>
          <w:rFonts w:hint="eastAsia" w:ascii="仿宋_GB2312" w:hAnsi="仿宋_GB2312" w:eastAsia="仿宋_GB2312" w:cs="仿宋_GB2312"/>
          <w:color w:val="000000"/>
          <w:kern w:val="0"/>
          <w:sz w:val="28"/>
          <w:szCs w:val="28"/>
        </w:rPr>
      </w:pP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（四）绩效评价指标分析</w:t>
      </w:r>
    </w:p>
    <w:p>
      <w:pPr>
        <w:spacing w:line="580" w:lineRule="exact"/>
        <w:ind w:firstLine="560" w:firstLineChars="200"/>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1.项目决策情况。</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1、项目立项</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市委改革办督察督办工作的内容包括督察督办已出台改革方案的落实</w:t>
      </w:r>
      <w:r>
        <w:rPr>
          <w:rFonts w:hint="eastAsia" w:ascii="仿宋_GB2312" w:hAnsi="仿宋_GB2312" w:eastAsia="仿宋_GB2312" w:cs="仿宋_GB2312"/>
          <w:color w:val="000000"/>
          <w:kern w:val="0"/>
          <w:sz w:val="28"/>
          <w:szCs w:val="28"/>
        </w:rPr>
        <w:t>情</w:t>
      </w:r>
      <w:r>
        <w:rPr>
          <w:rFonts w:ascii="仿宋_GB2312" w:hAnsi="仿宋_GB2312" w:eastAsia="仿宋_GB2312" w:cs="仿宋_GB2312"/>
          <w:color w:val="000000"/>
          <w:kern w:val="0"/>
          <w:sz w:val="28"/>
          <w:szCs w:val="28"/>
        </w:rPr>
        <w:t>况。中央深改委第八次会议强调，“要加强对改革的实效评估，梳理存在的突出短板和弱项，有针对性地一项一项推动解决</w:t>
      </w:r>
      <w:r>
        <w:rPr>
          <w:rFonts w:hint="eastAsia" w:ascii="仿宋_GB2312" w:hAnsi="仿宋_GB2312" w:eastAsia="仿宋_GB2312" w:cs="仿宋_GB2312"/>
          <w:color w:val="000000"/>
          <w:kern w:val="0"/>
          <w:sz w:val="28"/>
          <w:szCs w:val="28"/>
        </w:rPr>
        <w:t>”</w:t>
      </w:r>
      <w:r>
        <w:rPr>
          <w:rFonts w:ascii="仿宋_GB2312" w:hAnsi="仿宋_GB2312" w:eastAsia="仿宋_GB2312" w:cs="仿宋_GB2312"/>
          <w:color w:val="000000"/>
          <w:kern w:val="0"/>
          <w:sz w:val="28"/>
          <w:szCs w:val="28"/>
        </w:rPr>
        <w:t>。项目立项与职责范围相符且具有必要性；</w:t>
      </w:r>
      <w:r>
        <w:rPr>
          <w:rFonts w:hint="eastAsia" w:ascii="仿宋_GB2312" w:hAnsi="仿宋_GB2312" w:eastAsia="仿宋_GB2312" w:cs="仿宋_GB2312"/>
          <w:color w:val="000000"/>
          <w:kern w:val="0"/>
          <w:sz w:val="28"/>
          <w:szCs w:val="28"/>
        </w:rPr>
        <w:t>属</w:t>
      </w:r>
      <w:r>
        <w:rPr>
          <w:rFonts w:ascii="仿宋_GB2312" w:hAnsi="仿宋_GB2312" w:eastAsia="仿宋_GB2312" w:cs="仿宋_GB2312"/>
          <w:color w:val="000000"/>
          <w:kern w:val="0"/>
          <w:sz w:val="28"/>
          <w:szCs w:val="28"/>
        </w:rPr>
        <w:t>于公共财政支持范围；不存在与相关部门同类项目或部门内部相关项目重复事项，项目立项依据较为充分。</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2、绩效目标</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项目设置的绩效目标与市委改革办督察督办实际工作内容相关，总体具有合理性。</w:t>
      </w:r>
    </w:p>
    <w:p>
      <w:pPr>
        <w:pStyle w:val="2"/>
        <w:spacing w:line="580" w:lineRule="exact"/>
        <w:ind w:firstLine="56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2.项目过程情况。</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1、资金管理</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(1)资金到位率</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本项目预</w:t>
      </w:r>
      <w:r>
        <w:rPr>
          <w:rFonts w:hint="eastAsia" w:ascii="仿宋_GB2312" w:hAnsi="仿宋_GB2312" w:eastAsia="仿宋_GB2312" w:cs="仿宋_GB2312"/>
          <w:color w:val="000000"/>
          <w:kern w:val="0"/>
          <w:sz w:val="28"/>
          <w:szCs w:val="28"/>
        </w:rPr>
        <w:t>算</w:t>
      </w:r>
      <w:r>
        <w:rPr>
          <w:rFonts w:ascii="仿宋_GB2312" w:hAnsi="仿宋_GB2312" w:eastAsia="仿宋_GB2312" w:cs="仿宋_GB2312"/>
          <w:color w:val="000000"/>
          <w:kern w:val="0"/>
          <w:sz w:val="28"/>
          <w:szCs w:val="28"/>
        </w:rPr>
        <w:t>金额</w:t>
      </w:r>
      <w:r>
        <w:rPr>
          <w:rFonts w:hint="eastAsia" w:ascii="仿宋_GB2312" w:hAnsi="仿宋_GB2312" w:eastAsia="仿宋_GB2312" w:cs="仿宋_GB2312"/>
          <w:color w:val="000000"/>
          <w:kern w:val="0"/>
          <w:sz w:val="28"/>
          <w:szCs w:val="28"/>
        </w:rPr>
        <w:t>90</w:t>
      </w:r>
      <w:r>
        <w:rPr>
          <w:rFonts w:ascii="仿宋_GB2312" w:hAnsi="仿宋_GB2312" w:eastAsia="仿宋_GB2312" w:cs="仿宋_GB2312"/>
          <w:color w:val="000000"/>
          <w:kern w:val="0"/>
          <w:sz w:val="28"/>
          <w:szCs w:val="28"/>
        </w:rPr>
        <w:t>万元，实际到位资金</w:t>
      </w:r>
      <w:r>
        <w:rPr>
          <w:rFonts w:hint="eastAsia" w:ascii="仿宋_GB2312" w:hAnsi="仿宋_GB2312" w:eastAsia="仿宋_GB2312" w:cs="仿宋_GB2312"/>
          <w:color w:val="000000"/>
          <w:kern w:val="0"/>
          <w:sz w:val="28"/>
          <w:szCs w:val="28"/>
        </w:rPr>
        <w:t>90</w:t>
      </w:r>
      <w:r>
        <w:rPr>
          <w:rFonts w:ascii="仿宋_GB2312" w:hAnsi="仿宋_GB2312" w:eastAsia="仿宋_GB2312" w:cs="仿宋_GB2312"/>
          <w:color w:val="000000"/>
          <w:kern w:val="0"/>
          <w:sz w:val="28"/>
          <w:szCs w:val="28"/>
        </w:rPr>
        <w:t>万元，资金到位率100.00%。</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(2)预算执行率</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预算执行方面，项目预算</w:t>
      </w:r>
      <w:r>
        <w:rPr>
          <w:rFonts w:ascii="仿宋_GB2312" w:hAnsi="仿宋_GB2312" w:eastAsia="仿宋_GB2312" w:cs="仿宋_GB2312"/>
          <w:color w:val="000000"/>
          <w:kern w:val="0"/>
          <w:sz w:val="28"/>
          <w:szCs w:val="28"/>
        </w:rPr>
        <w:tab/>
      </w:r>
      <w:r>
        <w:rPr>
          <w:rFonts w:ascii="仿宋_GB2312" w:hAnsi="仿宋_GB2312" w:eastAsia="仿宋_GB2312" w:cs="仿宋_GB2312"/>
          <w:color w:val="000000"/>
          <w:kern w:val="0"/>
          <w:sz w:val="28"/>
          <w:szCs w:val="28"/>
        </w:rPr>
        <w:t>资金</w:t>
      </w:r>
      <w:r>
        <w:rPr>
          <w:rFonts w:hint="eastAsia" w:ascii="仿宋_GB2312" w:hAnsi="仿宋_GB2312" w:eastAsia="仿宋_GB2312" w:cs="仿宋_GB2312"/>
          <w:color w:val="000000"/>
          <w:kern w:val="0"/>
          <w:sz w:val="28"/>
          <w:szCs w:val="28"/>
        </w:rPr>
        <w:t>90</w:t>
      </w:r>
      <w:r>
        <w:rPr>
          <w:rFonts w:ascii="仿宋_GB2312" w:hAnsi="仿宋_GB2312" w:eastAsia="仿宋_GB2312" w:cs="仿宋_GB2312"/>
          <w:color w:val="000000"/>
          <w:kern w:val="0"/>
          <w:sz w:val="28"/>
          <w:szCs w:val="28"/>
        </w:rPr>
        <w:t>万元，实际支出</w:t>
      </w:r>
      <w:r>
        <w:rPr>
          <w:rFonts w:hint="eastAsia" w:ascii="仿宋_GB2312" w:hAnsi="仿宋_GB2312" w:eastAsia="仿宋_GB2312" w:cs="仿宋_GB2312"/>
          <w:color w:val="000000"/>
          <w:kern w:val="0"/>
          <w:sz w:val="28"/>
          <w:szCs w:val="28"/>
        </w:rPr>
        <w:t>90</w:t>
      </w:r>
      <w:r>
        <w:rPr>
          <w:rFonts w:ascii="仿宋_GB2312" w:hAnsi="仿宋_GB2312" w:eastAsia="仿宋_GB2312" w:cs="仿宋_GB2312"/>
          <w:color w:val="000000"/>
          <w:kern w:val="0"/>
          <w:sz w:val="28"/>
          <w:szCs w:val="28"/>
        </w:rPr>
        <w:t>万元，预算执行率100.00%。</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(3)资金使用合规性</w:t>
      </w:r>
    </w:p>
    <w:p>
      <w:pPr>
        <w:pStyle w:val="2"/>
        <w:spacing w:line="58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项目预</w:t>
      </w:r>
      <w:r>
        <w:rPr>
          <w:rFonts w:hint="eastAsia" w:ascii="仿宋_GB2312" w:hAnsi="仿宋_GB2312" w:eastAsia="仿宋_GB2312" w:cs="仿宋_GB2312"/>
          <w:color w:val="000000"/>
          <w:kern w:val="0"/>
          <w:sz w:val="28"/>
          <w:szCs w:val="28"/>
        </w:rPr>
        <w:t>算</w:t>
      </w:r>
      <w:r>
        <w:rPr>
          <w:rFonts w:ascii="仿宋_GB2312" w:hAnsi="仿宋_GB2312" w:eastAsia="仿宋_GB2312" w:cs="仿宋_GB2312"/>
          <w:color w:val="000000"/>
          <w:kern w:val="0"/>
          <w:sz w:val="28"/>
          <w:szCs w:val="28"/>
        </w:rPr>
        <w:t>资金按照计划执行，符合项目预</w:t>
      </w:r>
      <w:r>
        <w:rPr>
          <w:rFonts w:hint="eastAsia" w:ascii="仿宋_GB2312" w:hAnsi="仿宋_GB2312" w:eastAsia="仿宋_GB2312" w:cs="仿宋_GB2312"/>
          <w:color w:val="000000"/>
          <w:kern w:val="0"/>
          <w:sz w:val="28"/>
          <w:szCs w:val="28"/>
        </w:rPr>
        <w:t>算</w:t>
      </w:r>
      <w:r>
        <w:rPr>
          <w:rFonts w:ascii="仿宋_GB2312" w:hAnsi="仿宋_GB2312" w:eastAsia="仿宋_GB2312" w:cs="仿宋_GB2312"/>
          <w:color w:val="000000"/>
          <w:kern w:val="0"/>
          <w:sz w:val="28"/>
          <w:szCs w:val="28"/>
        </w:rPr>
        <w:t>批复或合同规定的用途，不存在截留、挤占、挪用、虚列支出等情况。市委研究室制定了财务管理制度，进行了资金使用的过程管理。</w:t>
      </w:r>
    </w:p>
    <w:p>
      <w:pPr>
        <w:spacing w:line="580" w:lineRule="exact"/>
        <w:ind w:firstLine="560" w:firstLineChars="200"/>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3.项目产出情况。</w:t>
      </w:r>
    </w:p>
    <w:p>
      <w:pPr>
        <w:pStyle w:val="2"/>
        <w:ind w:firstLine="56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完成评估任务数</w:t>
      </w:r>
      <w:r>
        <w:rPr>
          <w:rFonts w:ascii="仿宋_GB2312" w:hAnsi="仿宋_GB2312" w:eastAsia="仿宋_GB2312" w:cs="仿宋_GB2312"/>
          <w:color w:val="000000"/>
          <w:kern w:val="0"/>
          <w:sz w:val="28"/>
          <w:szCs w:val="28"/>
        </w:rPr>
        <w:t>6个</w:t>
      </w:r>
      <w:r>
        <w:rPr>
          <w:rFonts w:hint="eastAsia" w:ascii="仿宋_GB2312" w:hAnsi="仿宋_GB2312" w:eastAsia="仿宋_GB2312" w:cs="仿宋_GB2312"/>
          <w:color w:val="000000"/>
          <w:kern w:val="0"/>
          <w:sz w:val="28"/>
          <w:szCs w:val="28"/>
        </w:rPr>
        <w:t>。</w:t>
      </w:r>
    </w:p>
    <w:p>
      <w:pPr>
        <w:spacing w:line="580" w:lineRule="exact"/>
        <w:ind w:firstLine="560" w:firstLineChars="200"/>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4.项目效益情况。</w:t>
      </w:r>
    </w:p>
    <w:p>
      <w:pPr>
        <w:pStyle w:val="2"/>
        <w:spacing w:line="580" w:lineRule="exact"/>
        <w:ind w:firstLine="56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该项目达到预期效果，2021年完成的评估报告，对于改革办形成督察意见、被督察单位切实整改发挥了较大作用，成果应用单位满意率为100%。</w:t>
      </w:r>
    </w:p>
    <w:p>
      <w:pPr>
        <w:pStyle w:val="2"/>
        <w:spacing w:line="580" w:lineRule="exact"/>
        <w:ind w:firstLine="56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（五）主要经验及做法、存在的问题及原因分析</w:t>
      </w:r>
    </w:p>
    <w:p>
      <w:pPr>
        <w:pStyle w:val="2"/>
        <w:spacing w:line="580" w:lineRule="exact"/>
        <w:ind w:firstLine="560"/>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效益指标调研成果实现转化</w:t>
      </w:r>
      <w:r>
        <w:rPr>
          <w:rFonts w:hint="eastAsia" w:ascii="仿宋_GB2312" w:hAnsi="仿宋_GB2312" w:eastAsia="仿宋_GB2312" w:cs="仿宋_GB2312"/>
          <w:color w:val="000000"/>
          <w:kern w:val="0"/>
          <w:sz w:val="28"/>
          <w:szCs w:val="28"/>
        </w:rPr>
        <w:t>不够</w:t>
      </w:r>
      <w:r>
        <w:rPr>
          <w:rFonts w:hint="eastAsia" w:ascii="仿宋_GB2312" w:hAnsi="仿宋_GB2312" w:eastAsia="仿宋_GB2312" w:cs="仿宋_GB2312"/>
          <w:color w:val="000000"/>
          <w:kern w:val="0"/>
          <w:sz w:val="28"/>
          <w:szCs w:val="28"/>
          <w:lang w:eastAsia="zh-CN"/>
        </w:rPr>
        <w:t>，主要</w:t>
      </w:r>
      <w:r>
        <w:rPr>
          <w:rFonts w:hint="eastAsia" w:ascii="仿宋_GB2312" w:hAnsi="仿宋_GB2312" w:eastAsia="仿宋_GB2312" w:cs="仿宋_GB2312"/>
          <w:color w:val="000000"/>
          <w:kern w:val="0"/>
          <w:sz w:val="28"/>
          <w:szCs w:val="28"/>
        </w:rPr>
        <w:t>个别评估机构工作力度不够。通过加强支持、加大协调力度</w:t>
      </w:r>
      <w:r>
        <w:rPr>
          <w:rFonts w:hint="eastAsia" w:ascii="仿宋_GB2312" w:hAnsi="仿宋_GB2312" w:eastAsia="仿宋_GB2312" w:cs="仿宋_GB2312"/>
          <w:color w:val="000000"/>
          <w:kern w:val="0"/>
          <w:sz w:val="28"/>
          <w:szCs w:val="28"/>
          <w:lang w:eastAsia="zh-CN"/>
        </w:rPr>
        <w:t>来改进。</w:t>
      </w:r>
      <w:bookmarkStart w:id="0" w:name="_GoBack"/>
      <w:bookmarkEnd w:id="0"/>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（六）有关建议</w:t>
      </w:r>
    </w:p>
    <w:p>
      <w:pPr>
        <w:pStyle w:val="2"/>
        <w:spacing w:line="580" w:lineRule="exact"/>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r>
        <w:rPr>
          <w:rFonts w:ascii="仿宋_GB2312" w:hAnsi="仿宋_GB2312" w:eastAsia="仿宋_GB2312" w:cs="仿宋_GB2312"/>
          <w:color w:val="000000"/>
          <w:kern w:val="0"/>
          <w:sz w:val="28"/>
          <w:szCs w:val="28"/>
        </w:rPr>
        <w:t>提高绩效意识。充分理解党中央国务院关于全面加强预</w:t>
      </w:r>
      <w:r>
        <w:rPr>
          <w:rFonts w:hint="eastAsia" w:ascii="仿宋_GB2312" w:hAnsi="仿宋_GB2312" w:eastAsia="仿宋_GB2312" w:cs="仿宋_GB2312"/>
          <w:color w:val="000000"/>
          <w:kern w:val="0"/>
          <w:sz w:val="28"/>
          <w:szCs w:val="28"/>
        </w:rPr>
        <w:t>算</w:t>
      </w:r>
      <w:r>
        <w:rPr>
          <w:rFonts w:ascii="仿宋_GB2312" w:hAnsi="仿宋_GB2312" w:eastAsia="仿宋_GB2312" w:cs="仿宋_GB2312"/>
          <w:color w:val="000000"/>
          <w:kern w:val="0"/>
          <w:sz w:val="28"/>
          <w:szCs w:val="28"/>
        </w:rPr>
        <w:t>资金绩效评价工作的文件的意义，认</w:t>
      </w:r>
      <w:r>
        <w:rPr>
          <w:rFonts w:hint="eastAsia" w:ascii="仿宋_GB2312" w:hAnsi="仿宋_GB2312" w:eastAsia="仿宋_GB2312" w:cs="仿宋_GB2312"/>
          <w:color w:val="000000"/>
          <w:kern w:val="0"/>
          <w:sz w:val="28"/>
          <w:szCs w:val="28"/>
        </w:rPr>
        <w:t>真</w:t>
      </w:r>
      <w:r>
        <w:rPr>
          <w:rFonts w:ascii="仿宋_GB2312" w:hAnsi="仿宋_GB2312" w:eastAsia="仿宋_GB2312" w:cs="仿宋_GB2312"/>
          <w:color w:val="000000"/>
          <w:kern w:val="0"/>
          <w:sz w:val="28"/>
          <w:szCs w:val="28"/>
        </w:rPr>
        <w:t>对待绩效评价工作，科学合理设置绩效目标和指标，并以绩效目标申报表指导项目的实施，加强绩效资料的收集和归集工作。</w:t>
      </w:r>
    </w:p>
    <w:p>
      <w:pPr>
        <w:pStyle w:val="2"/>
        <w:spacing w:line="580" w:lineRule="exact"/>
        <w:ind w:firstLine="560"/>
        <w:rPr>
          <w:rFonts w:hint="eastAsia"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2、做好事前决策工作。加强决策的规范性，要做好可行性研究报告和专家论证。</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（七）其他需要说明的问题</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pPr>
        <w:pStyle w:val="2"/>
        <w:ind w:firstLine="199" w:firstLineChars="95"/>
        <w:rPr>
          <w:rFonts w:hint="eastAsia"/>
        </w:rPr>
      </w:pPr>
    </w:p>
    <w:p>
      <w:pPr>
        <w:spacing w:line="580" w:lineRule="exact"/>
        <w:ind w:firstLine="560" w:firstLineChars="200"/>
        <w:rPr>
          <w:rFonts w:hint="eastAsia" w:ascii="黑体" w:eastAsia="黑体"/>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C5134"/>
    <w:rsid w:val="000248F6"/>
    <w:rsid w:val="00174B32"/>
    <w:rsid w:val="00395CE2"/>
    <w:rsid w:val="00584ACD"/>
    <w:rsid w:val="005C4BEA"/>
    <w:rsid w:val="00865BE5"/>
    <w:rsid w:val="008813DD"/>
    <w:rsid w:val="008C5134"/>
    <w:rsid w:val="00977F69"/>
    <w:rsid w:val="00991A77"/>
    <w:rsid w:val="00C9735E"/>
    <w:rsid w:val="00D367ED"/>
    <w:rsid w:val="00D86415"/>
    <w:rsid w:val="00F479FF"/>
    <w:rsid w:val="0584263D"/>
    <w:rsid w:val="0EDD07DC"/>
    <w:rsid w:val="17CC1574"/>
    <w:rsid w:val="35666152"/>
    <w:rsid w:val="44210BAB"/>
    <w:rsid w:val="6B66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customStyle="1" w:styleId="9">
    <w:name w:val="Table Paragraph"/>
    <w:basedOn w:val="1"/>
    <w:qFormat/>
    <w:uiPriority w:val="1"/>
    <w:pPr>
      <w:autoSpaceDE w:val="0"/>
      <w:autoSpaceDN w:val="0"/>
      <w:jc w:val="center"/>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291</Words>
  <Characters>1663</Characters>
  <Lines>13</Lines>
  <Paragraphs>3</Paragraphs>
  <TotalTime>1</TotalTime>
  <ScaleCrop>false</ScaleCrop>
  <LinksUpToDate>false</LinksUpToDate>
  <CharactersWithSpaces>1951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2022-06-10T09:09:00Z</dcterms:created>
  <dc:creator>lenovo</dc:creator>
  <cp:lastModifiedBy>lenovo</cp:lastModifiedBy>
  <dcterms:modified xsi:type="dcterms:W3CDTF">2022-08-19T10:15:23Z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