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方正小标宋简体" w:hAnsi="华文中宋" w:eastAsia="方正小标宋简体"/>
          <w:sz w:val="36"/>
          <w:szCs w:val="36"/>
        </w:rPr>
      </w:pPr>
    </w:p>
    <w:p>
      <w:pPr>
        <w:snapToGrid w:val="0"/>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北京市人民政府办公厅</w:t>
      </w:r>
    </w:p>
    <w:p>
      <w:pPr>
        <w:snapToGrid w:val="0"/>
        <w:jc w:val="center"/>
        <w:rPr>
          <w:rFonts w:ascii="方正小标宋简体" w:hAnsi="华文中宋" w:eastAsia="方正小标宋简体"/>
          <w:sz w:val="36"/>
          <w:szCs w:val="36"/>
        </w:rPr>
      </w:pPr>
      <w:r>
        <w:rPr>
          <w:rFonts w:hint="eastAsia" w:ascii="方正小标宋简体" w:hAnsi="华文中宋" w:eastAsia="方正小标宋简体"/>
          <w:sz w:val="36"/>
          <w:szCs w:val="36"/>
        </w:rPr>
        <w:t>2021年度部门整体绩效评价报告</w:t>
      </w:r>
    </w:p>
    <w:p>
      <w:pPr>
        <w:spacing w:line="560" w:lineRule="exact"/>
        <w:jc w:val="center"/>
        <w:rPr>
          <w:rFonts w:ascii="方正小标宋简体" w:eastAsia="方正小标宋简体"/>
          <w:sz w:val="36"/>
          <w:szCs w:val="36"/>
        </w:rPr>
      </w:pPr>
    </w:p>
    <w:p>
      <w:pPr>
        <w:snapToGrid w:val="0"/>
        <w:spacing w:line="520" w:lineRule="exact"/>
        <w:ind w:firstLine="640" w:firstLineChars="200"/>
        <w:outlineLvl w:val="0"/>
        <w:rPr>
          <w:rFonts w:ascii="黑体" w:hAnsi="黑体" w:eastAsia="黑体"/>
          <w:sz w:val="32"/>
          <w:szCs w:val="32"/>
        </w:rPr>
      </w:pPr>
      <w:bookmarkStart w:id="0" w:name="_Toc103362013"/>
      <w:r>
        <w:rPr>
          <w:rFonts w:hint="eastAsia" w:ascii="黑体" w:hAnsi="黑体" w:eastAsia="黑体"/>
          <w:sz w:val="32"/>
          <w:szCs w:val="32"/>
        </w:rPr>
        <w:t>一、部门概况</w:t>
      </w:r>
      <w:bookmarkEnd w:id="0"/>
    </w:p>
    <w:p>
      <w:pPr>
        <w:snapToGrid w:val="0"/>
        <w:spacing w:line="520" w:lineRule="exact"/>
        <w:ind w:firstLine="640" w:firstLineChars="200"/>
        <w:outlineLvl w:val="1"/>
        <w:rPr>
          <w:rFonts w:ascii="楷体_GB2312" w:hAnsi="仿宋" w:eastAsia="楷体_GB2312"/>
          <w:sz w:val="32"/>
          <w:szCs w:val="32"/>
        </w:rPr>
      </w:pPr>
      <w:bookmarkStart w:id="1" w:name="_Toc103362014"/>
      <w:r>
        <w:rPr>
          <w:rFonts w:hint="eastAsia" w:ascii="楷体_GB2312" w:hAnsi="仿宋" w:eastAsia="楷体_GB2312"/>
          <w:sz w:val="32"/>
          <w:szCs w:val="32"/>
        </w:rPr>
        <w:t>（一）机构设置及职责工作任务情况</w:t>
      </w:r>
      <w:bookmarkEnd w:id="1"/>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北京市人民政府办公厅包括北京市人民政府办公厅（本级）、北京市人民政府驻上海办事处。</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北京市人民政府办公厅是协助市政府领导同志处理市政府日常工作的机构。</w:t>
      </w:r>
    </w:p>
    <w:p>
      <w:pPr>
        <w:snapToGrid w:val="0"/>
        <w:spacing w:line="520" w:lineRule="exact"/>
        <w:ind w:firstLine="640" w:firstLineChars="200"/>
        <w:outlineLvl w:val="1"/>
        <w:rPr>
          <w:rFonts w:ascii="楷体_GB2312" w:hAnsi="仿宋" w:eastAsia="楷体_GB2312"/>
          <w:sz w:val="32"/>
          <w:szCs w:val="32"/>
        </w:rPr>
      </w:pPr>
      <w:bookmarkStart w:id="2" w:name="_Toc103362015"/>
      <w:r>
        <w:rPr>
          <w:rFonts w:hint="eastAsia" w:ascii="楷体_GB2312" w:hAnsi="仿宋" w:eastAsia="楷体_GB2312"/>
          <w:sz w:val="32"/>
          <w:szCs w:val="32"/>
        </w:rPr>
        <w:t>（二）部门整体绩效目标设立情况</w:t>
      </w:r>
      <w:bookmarkEnd w:id="2"/>
    </w:p>
    <w:p>
      <w:pPr>
        <w:spacing w:line="560" w:lineRule="exact"/>
        <w:ind w:firstLine="640" w:firstLineChars="200"/>
        <w:rPr>
          <w:rFonts w:ascii="仿宋_GB2312" w:eastAsia="仿宋_GB2312"/>
          <w:sz w:val="32"/>
          <w:szCs w:val="32"/>
        </w:rPr>
      </w:pPr>
      <w:r>
        <w:rPr>
          <w:rFonts w:hint="eastAsia" w:ascii="仿宋_GB2312" w:hAnsi="仿宋" w:eastAsia="仿宋_GB2312"/>
          <w:sz w:val="32"/>
          <w:szCs w:val="32"/>
        </w:rPr>
        <w:t>按照市财政局</w:t>
      </w:r>
      <w:r>
        <w:rPr>
          <w:rFonts w:hint="eastAsia" w:ascii="仿宋_GB2312" w:hAnsi="仿宋" w:eastAsia="仿宋_GB2312"/>
          <w:sz w:val="32"/>
          <w:szCs w:val="32"/>
          <w:lang w:val="en-US" w:eastAsia="zh-CN"/>
        </w:rPr>
        <w:t>2021年度</w:t>
      </w:r>
      <w:r>
        <w:rPr>
          <w:rFonts w:hint="eastAsia" w:ascii="仿宋_GB2312" w:hAnsi="仿宋" w:eastAsia="仿宋_GB2312"/>
          <w:sz w:val="32"/>
          <w:szCs w:val="32"/>
        </w:rPr>
        <w:t>预算编报要求</w:t>
      </w:r>
      <w:r>
        <w:rPr>
          <w:rFonts w:hint="eastAsia" w:ascii="仿宋_GB2312" w:hAnsi="仿宋" w:eastAsia="仿宋_GB2312"/>
          <w:sz w:val="32"/>
          <w:szCs w:val="32"/>
          <w:lang w:eastAsia="zh-CN"/>
        </w:rPr>
        <w:t>，</w:t>
      </w:r>
      <w:r>
        <w:rPr>
          <w:rFonts w:hint="eastAsia" w:ascii="仿宋_GB2312" w:hAnsi="仿宋" w:eastAsia="仿宋_GB2312"/>
          <w:sz w:val="32"/>
          <w:szCs w:val="32"/>
        </w:rPr>
        <w:t>办公厅</w:t>
      </w:r>
      <w:r>
        <w:rPr>
          <w:rFonts w:hint="eastAsia" w:ascii="仿宋_GB2312" w:hAnsi="仿宋" w:eastAsia="仿宋_GB2312"/>
          <w:sz w:val="32"/>
          <w:szCs w:val="32"/>
          <w:lang w:eastAsia="zh-CN"/>
        </w:rPr>
        <w:t>于</w:t>
      </w:r>
      <w:r>
        <w:rPr>
          <w:rFonts w:hint="eastAsia" w:ascii="仿宋_GB2312" w:hAnsi="仿宋" w:eastAsia="仿宋_GB2312"/>
          <w:sz w:val="32"/>
          <w:szCs w:val="32"/>
        </w:rPr>
        <w:t>2</w:t>
      </w:r>
      <w:r>
        <w:rPr>
          <w:rFonts w:ascii="仿宋_GB2312" w:hAnsi="仿宋" w:eastAsia="仿宋_GB2312"/>
          <w:sz w:val="32"/>
          <w:szCs w:val="32"/>
        </w:rPr>
        <w:t>020</w:t>
      </w:r>
      <w:r>
        <w:rPr>
          <w:rFonts w:hint="eastAsia" w:ascii="仿宋_GB2312" w:hAnsi="仿宋" w:eastAsia="仿宋_GB2312"/>
          <w:sz w:val="32"/>
          <w:szCs w:val="32"/>
        </w:rPr>
        <w:t>年1</w:t>
      </w:r>
      <w:r>
        <w:rPr>
          <w:rFonts w:ascii="仿宋_GB2312" w:hAnsi="仿宋" w:eastAsia="仿宋_GB2312"/>
          <w:sz w:val="32"/>
          <w:szCs w:val="32"/>
        </w:rPr>
        <w:t>0</w:t>
      </w:r>
      <w:r>
        <w:rPr>
          <w:rFonts w:hint="eastAsia" w:ascii="仿宋_GB2312" w:hAnsi="仿宋" w:eastAsia="仿宋_GB2312"/>
          <w:sz w:val="32"/>
          <w:szCs w:val="32"/>
        </w:rPr>
        <w:t>月</w:t>
      </w:r>
      <w:r>
        <w:rPr>
          <w:rFonts w:hint="eastAsia" w:ascii="仿宋_GB2312" w:hAnsi="仿宋" w:eastAsia="仿宋_GB2312"/>
          <w:sz w:val="32"/>
          <w:szCs w:val="32"/>
          <w:lang w:eastAsia="zh-CN"/>
        </w:rPr>
        <w:t>填报</w:t>
      </w:r>
      <w:r>
        <w:rPr>
          <w:rFonts w:hint="eastAsia" w:ascii="仿宋_GB2312" w:eastAsia="仿宋_GB2312"/>
          <w:sz w:val="32"/>
          <w:szCs w:val="32"/>
        </w:rPr>
        <w:t>2021年度部门整体绩效目标</w:t>
      </w:r>
      <w:r>
        <w:rPr>
          <w:rFonts w:hint="eastAsia" w:ascii="仿宋_GB2312" w:eastAsia="仿宋_GB2312"/>
          <w:sz w:val="32"/>
          <w:szCs w:val="32"/>
          <w:lang w:eastAsia="zh-CN"/>
        </w:rPr>
        <w:t>申报表（详见下表）</w:t>
      </w:r>
      <w:r>
        <w:rPr>
          <w:rFonts w:hint="eastAsia" w:ascii="仿宋_GB2312" w:eastAsia="仿宋_GB2312"/>
          <w:sz w:val="32"/>
          <w:szCs w:val="32"/>
        </w:rPr>
        <w:t>。</w:t>
      </w:r>
    </w:p>
    <w:p>
      <w:pPr>
        <w:adjustRightInd w:val="0"/>
        <w:snapToGrid w:val="0"/>
        <w:spacing w:line="560" w:lineRule="exact"/>
        <w:jc w:val="center"/>
        <w:rPr>
          <w:rFonts w:ascii="黑体" w:hAnsi="黑体" w:eastAsia="黑体" w:cs="宋体"/>
          <w:color w:val="000000"/>
          <w:kern w:val="0"/>
          <w:sz w:val="28"/>
          <w:szCs w:val="28"/>
        </w:rPr>
      </w:pPr>
      <w:r>
        <w:rPr>
          <w:rFonts w:hint="eastAsia" w:ascii="黑体" w:hAnsi="黑体" w:eastAsia="黑体" w:cs="宋体"/>
          <w:color w:val="000000"/>
          <w:kern w:val="0"/>
          <w:sz w:val="28"/>
          <w:szCs w:val="28"/>
        </w:rPr>
        <w:t>表：2021年度部门整体支出绩效目标申报表</w:t>
      </w:r>
    </w:p>
    <w:tbl>
      <w:tblPr>
        <w:tblStyle w:val="13"/>
        <w:tblW w:w="5000" w:type="pct"/>
        <w:tblInd w:w="0" w:type="dxa"/>
        <w:tblLayout w:type="autofit"/>
        <w:tblCellMar>
          <w:top w:w="0" w:type="dxa"/>
          <w:left w:w="28" w:type="dxa"/>
          <w:bottom w:w="0" w:type="dxa"/>
          <w:right w:w="28" w:type="dxa"/>
        </w:tblCellMar>
      </w:tblPr>
      <w:tblGrid>
        <w:gridCol w:w="1280"/>
        <w:gridCol w:w="1278"/>
        <w:gridCol w:w="1450"/>
        <w:gridCol w:w="1452"/>
        <w:gridCol w:w="2902"/>
      </w:tblGrid>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部门（单位）名称</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北京市人民政府办公厅</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部门（单位）负责人</w:t>
            </w:r>
          </w:p>
        </w:tc>
        <w:tc>
          <w:tcPr>
            <w:tcW w:w="1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靳伟</w:t>
            </w:r>
          </w:p>
        </w:tc>
        <w:tc>
          <w:tcPr>
            <w:tcW w:w="8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联系电话</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p>
        </w:tc>
      </w:tr>
      <w:tr>
        <w:tblPrEx>
          <w:tblCellMar>
            <w:top w:w="0" w:type="dxa"/>
            <w:left w:w="28" w:type="dxa"/>
            <w:bottom w:w="0" w:type="dxa"/>
            <w:right w:w="28" w:type="dxa"/>
          </w:tblCellMar>
        </w:tblPrEx>
        <w:trPr>
          <w:trHeight w:val="20" w:hRule="atLeast"/>
        </w:trPr>
        <w:tc>
          <w:tcPr>
            <w:tcW w:w="7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部门（单位）总体资金情况(万元）</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资金总体</w:t>
            </w:r>
          </w:p>
        </w:tc>
        <w:tc>
          <w:tcPr>
            <w:tcW w:w="347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12</w:t>
            </w:r>
            <w:r>
              <w:rPr>
                <w:rFonts w:ascii="宋体" w:hAnsi="宋体" w:cs="Arial"/>
                <w:color w:val="000000"/>
                <w:kern w:val="0"/>
                <w:sz w:val="18"/>
                <w:szCs w:val="18"/>
              </w:rPr>
              <w:t>,</w:t>
            </w:r>
            <w:r>
              <w:rPr>
                <w:rFonts w:hint="eastAsia" w:ascii="宋体" w:hAnsi="宋体" w:cs="Arial"/>
                <w:color w:val="000000"/>
                <w:kern w:val="0"/>
                <w:sz w:val="18"/>
                <w:szCs w:val="18"/>
              </w:rPr>
              <w:t>956.97349</w:t>
            </w:r>
          </w:p>
        </w:tc>
      </w:tr>
      <w:tr>
        <w:tblPrEx>
          <w:tblCellMar>
            <w:top w:w="0" w:type="dxa"/>
            <w:left w:w="28" w:type="dxa"/>
            <w:bottom w:w="0" w:type="dxa"/>
            <w:right w:w="28" w:type="dxa"/>
          </w:tblCellMar>
        </w:tblPrEx>
        <w:trPr>
          <w:trHeight w:val="20" w:hRule="atLeast"/>
        </w:trPr>
        <w:tc>
          <w:tcPr>
            <w:tcW w:w="76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基本支出</w:t>
            </w:r>
          </w:p>
        </w:tc>
        <w:tc>
          <w:tcPr>
            <w:tcW w:w="347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9</w:t>
            </w:r>
            <w:r>
              <w:rPr>
                <w:rFonts w:ascii="宋体" w:hAnsi="宋体" w:cs="Arial"/>
                <w:color w:val="000000"/>
                <w:kern w:val="0"/>
                <w:sz w:val="18"/>
                <w:szCs w:val="18"/>
              </w:rPr>
              <w:t>,</w:t>
            </w:r>
            <w:r>
              <w:rPr>
                <w:rFonts w:hint="eastAsia" w:ascii="宋体" w:hAnsi="宋体" w:cs="Arial"/>
                <w:color w:val="000000"/>
                <w:kern w:val="0"/>
                <w:sz w:val="18"/>
                <w:szCs w:val="18"/>
              </w:rPr>
              <w:t>943.293287</w:t>
            </w:r>
          </w:p>
        </w:tc>
      </w:tr>
      <w:tr>
        <w:tblPrEx>
          <w:tblCellMar>
            <w:top w:w="0" w:type="dxa"/>
            <w:left w:w="28" w:type="dxa"/>
            <w:bottom w:w="0" w:type="dxa"/>
            <w:right w:w="28" w:type="dxa"/>
          </w:tblCellMar>
        </w:tblPrEx>
        <w:trPr>
          <w:trHeight w:val="20" w:hRule="atLeast"/>
        </w:trPr>
        <w:tc>
          <w:tcPr>
            <w:tcW w:w="76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项目支出</w:t>
            </w:r>
          </w:p>
        </w:tc>
        <w:tc>
          <w:tcPr>
            <w:tcW w:w="347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3</w:t>
            </w:r>
            <w:r>
              <w:rPr>
                <w:rFonts w:ascii="宋体" w:hAnsi="宋体" w:cs="Arial"/>
                <w:color w:val="000000"/>
                <w:kern w:val="0"/>
                <w:sz w:val="18"/>
                <w:szCs w:val="18"/>
              </w:rPr>
              <w:t>,</w:t>
            </w:r>
            <w:r>
              <w:rPr>
                <w:rFonts w:hint="eastAsia" w:ascii="宋体" w:hAnsi="宋体" w:cs="Arial"/>
                <w:color w:val="000000"/>
                <w:kern w:val="0"/>
                <w:sz w:val="18"/>
                <w:szCs w:val="18"/>
              </w:rPr>
              <w:t>013.6802</w:t>
            </w:r>
          </w:p>
        </w:tc>
      </w:tr>
      <w:tr>
        <w:tblPrEx>
          <w:tblCellMar>
            <w:top w:w="0" w:type="dxa"/>
            <w:left w:w="28" w:type="dxa"/>
            <w:bottom w:w="0" w:type="dxa"/>
            <w:right w:w="28" w:type="dxa"/>
          </w:tblCellMar>
        </w:tblPrEx>
        <w:trPr>
          <w:trHeight w:val="20" w:hRule="atLeast"/>
        </w:trPr>
        <w:tc>
          <w:tcPr>
            <w:tcW w:w="766"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color w:val="000000"/>
                <w:kern w:val="0"/>
                <w:sz w:val="18"/>
                <w:szCs w:val="18"/>
              </w:rPr>
            </w:pP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其他</w:t>
            </w:r>
          </w:p>
        </w:tc>
        <w:tc>
          <w:tcPr>
            <w:tcW w:w="347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0</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部门（单位）绩效目标</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结合市政府办公厅部门职责，稳步推进</w:t>
            </w:r>
            <w:bookmarkStart w:id="3" w:name="_Hlk103335329"/>
            <w:r>
              <w:rPr>
                <w:rFonts w:hint="eastAsia" w:ascii="宋体" w:hAnsi="宋体" w:cs="Arial"/>
                <w:color w:val="000000"/>
                <w:kern w:val="0"/>
                <w:sz w:val="18"/>
                <w:szCs w:val="18"/>
              </w:rPr>
              <w:t>信息报送及办文办会、政务督查、信息化保障等方面工作</w:t>
            </w:r>
            <w:bookmarkEnd w:id="3"/>
            <w:r>
              <w:rPr>
                <w:rFonts w:hint="eastAsia" w:ascii="宋体" w:hAnsi="宋体" w:cs="Arial"/>
                <w:color w:val="000000"/>
                <w:kern w:val="0"/>
                <w:sz w:val="18"/>
                <w:szCs w:val="18"/>
              </w:rPr>
              <w:t>，并通过年度各项重点工作的有序开展，推动相关工作绩效落到实处，促进机关政务服务管理效率和服务水平的不断提升。</w:t>
            </w:r>
          </w:p>
        </w:tc>
      </w:tr>
      <w:tr>
        <w:tblPrEx>
          <w:tblCellMar>
            <w:top w:w="0" w:type="dxa"/>
            <w:left w:w="28" w:type="dxa"/>
            <w:bottom w:w="0" w:type="dxa"/>
            <w:right w:w="28" w:type="dxa"/>
          </w:tblCellMar>
        </w:tblPrEx>
        <w:trPr>
          <w:trHeight w:val="2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180" w:firstLineChars="100"/>
              <w:jc w:val="left"/>
              <w:rPr>
                <w:rFonts w:ascii="宋体" w:hAnsi="宋体" w:cs="Arial"/>
                <w:b/>
                <w:bCs/>
                <w:color w:val="000000"/>
                <w:kern w:val="0"/>
                <w:sz w:val="18"/>
                <w:szCs w:val="18"/>
              </w:rPr>
            </w:pPr>
            <w:r>
              <w:rPr>
                <w:rFonts w:hint="eastAsia" w:ascii="宋体" w:hAnsi="宋体" w:cs="Arial"/>
                <w:b/>
                <w:bCs/>
                <w:color w:val="000000"/>
                <w:kern w:val="0"/>
                <w:sz w:val="18"/>
                <w:szCs w:val="18"/>
              </w:rPr>
              <w:t>绩效指标</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绩效指标一</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通过落实国务院重点决策部署，向国务院办公厅及时反映北京市重点工作开展情况，以《专报信息》形式完成向国办的信息报送工作；通过定期研究梳理，全面加强监测预警，及时报送信息刊物，提升研判科学性、准确性，包括提供日报约250期、专项分析快报和深度分析报告110余期。涉及1个重点项目，即政务信息服务项目。</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绩效指标二</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围绕年度重点核心工作，深入细致办文办会，包括组织召开市政府常务会议、市政府专题会议、疏解整治促提升促首都生态文明和城乡环境建设动员大会、市政府系统政务信息工作会等各类会议，以及做好“两会”及相关会议的服务保障任务，确保各项重点会议顺利开展。涉及2个重点项目，即市政府会议办公日常经费、办公厅业务工作经费。</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绩效指标三</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通过细化分解2021年市政府工作报告重点工作、民生实事项目等任务，开展政务督查工作，确保市政府重点任务及市领导交办事项刚性落实；通过开展55个市级行政机关以及16个区政府公众满意度调查、组织2021年政府绩效管理评估等工作，推动政府绩效管理工作的稳步落实。涉及3个重点项目，即市政府重大决策专项任务核查、公众满意度第三方调查经费、政府绩效管理评估经费。</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绩效指标四</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通过完成市政府办公厅信息化规划、建设、运维管理和市政府办公楼网络基础设施运维管理、会议技术保障工作，确保信息化支撑的高效运转。</w:t>
            </w:r>
          </w:p>
        </w:tc>
      </w:tr>
      <w:tr>
        <w:tblPrEx>
          <w:tblCellMar>
            <w:top w:w="0" w:type="dxa"/>
            <w:left w:w="28" w:type="dxa"/>
            <w:bottom w:w="0" w:type="dxa"/>
            <w:right w:w="28" w:type="dxa"/>
          </w:tblCellMar>
        </w:tblPrEx>
        <w:trPr>
          <w:trHeight w:val="20" w:hRule="atLeast"/>
        </w:trPr>
        <w:tc>
          <w:tcPr>
            <w:tcW w:w="7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r>
              <w:rPr>
                <w:rFonts w:hint="eastAsia" w:ascii="宋体" w:hAnsi="宋体" w:cs="Arial"/>
                <w:color w:val="000000"/>
                <w:kern w:val="0"/>
                <w:sz w:val="18"/>
                <w:szCs w:val="18"/>
              </w:rPr>
              <w:t>其他说明的问题</w:t>
            </w:r>
          </w:p>
        </w:tc>
        <w:tc>
          <w:tcPr>
            <w:tcW w:w="423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color w:val="000000"/>
                <w:kern w:val="0"/>
                <w:sz w:val="18"/>
                <w:szCs w:val="18"/>
              </w:rPr>
            </w:pPr>
          </w:p>
        </w:tc>
      </w:tr>
    </w:tbl>
    <w:p>
      <w:pPr>
        <w:spacing w:line="560" w:lineRule="exact"/>
        <w:rPr>
          <w:rFonts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lang w:eastAsia="zh-CN"/>
        </w:rPr>
        <w:t>办公厅的</w:t>
      </w:r>
      <w:r>
        <w:rPr>
          <w:rFonts w:hint="eastAsia" w:ascii="仿宋_GB2312" w:eastAsia="仿宋_GB2312"/>
          <w:sz w:val="32"/>
          <w:szCs w:val="32"/>
        </w:rPr>
        <w:t>部门整体绩效目标</w:t>
      </w:r>
      <w:r>
        <w:rPr>
          <w:rFonts w:hint="eastAsia" w:ascii="仿宋_GB2312" w:eastAsia="仿宋_GB2312"/>
          <w:sz w:val="32"/>
          <w:szCs w:val="32"/>
          <w:lang w:eastAsia="zh-CN"/>
        </w:rPr>
        <w:t>设置合理，</w:t>
      </w:r>
      <w:r>
        <w:rPr>
          <w:rFonts w:hint="eastAsia" w:ascii="仿宋_GB2312" w:eastAsia="仿宋_GB2312"/>
          <w:sz w:val="32"/>
          <w:szCs w:val="32"/>
        </w:rPr>
        <w:t>与办公厅的职责任务匹配。</w:t>
      </w:r>
    </w:p>
    <w:p>
      <w:pPr>
        <w:snapToGrid w:val="0"/>
        <w:spacing w:line="520" w:lineRule="exact"/>
        <w:ind w:firstLine="640" w:firstLineChars="200"/>
        <w:outlineLvl w:val="0"/>
        <w:rPr>
          <w:rFonts w:ascii="黑体" w:hAnsi="黑体" w:eastAsia="黑体"/>
          <w:sz w:val="32"/>
          <w:szCs w:val="32"/>
        </w:rPr>
      </w:pPr>
      <w:bookmarkStart w:id="4" w:name="_Toc103362016"/>
      <w:r>
        <w:rPr>
          <w:rFonts w:hint="eastAsia" w:ascii="黑体" w:hAnsi="黑体" w:eastAsia="黑体"/>
          <w:sz w:val="32"/>
          <w:szCs w:val="32"/>
        </w:rPr>
        <w:t>二</w:t>
      </w:r>
      <w:r>
        <w:rPr>
          <w:rFonts w:ascii="黑体" w:hAnsi="黑体" w:eastAsia="黑体"/>
          <w:sz w:val="32"/>
          <w:szCs w:val="32"/>
        </w:rPr>
        <w:t>、</w:t>
      </w:r>
      <w:r>
        <w:rPr>
          <w:rFonts w:hint="eastAsia" w:ascii="黑体" w:hAnsi="黑体" w:eastAsia="黑体"/>
          <w:sz w:val="32"/>
          <w:szCs w:val="32"/>
        </w:rPr>
        <w:t>当年</w:t>
      </w:r>
      <w:r>
        <w:rPr>
          <w:rFonts w:ascii="黑体" w:hAnsi="黑体" w:eastAsia="黑体"/>
          <w:sz w:val="32"/>
          <w:szCs w:val="32"/>
        </w:rPr>
        <w:t>预算执行情况</w:t>
      </w:r>
      <w:bookmarkEnd w:id="4"/>
    </w:p>
    <w:p>
      <w:pPr>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2021年度，年初预算数为12,956.97万元，其中，基本支出预算数9,943.29万元，项目支出预算数3,013.68万元。经年中</w:t>
      </w:r>
      <w:r>
        <w:rPr>
          <w:rFonts w:hint="eastAsia" w:ascii="仿宋_GB2312" w:hAnsi="宋体" w:eastAsia="仿宋_GB2312" w:cs="宋体"/>
          <w:color w:val="000000"/>
          <w:kern w:val="0"/>
          <w:sz w:val="32"/>
          <w:szCs w:val="32"/>
          <w:lang w:eastAsia="zh-CN"/>
        </w:rPr>
        <w:t>预算</w:t>
      </w:r>
      <w:r>
        <w:rPr>
          <w:rFonts w:hint="eastAsia" w:ascii="仿宋_GB2312" w:hAnsi="宋体" w:eastAsia="仿宋_GB2312" w:cs="宋体"/>
          <w:color w:val="000000"/>
          <w:kern w:val="0"/>
          <w:sz w:val="32"/>
          <w:szCs w:val="32"/>
        </w:rPr>
        <w:t>调整，全年预算数为14,037.</w:t>
      </w:r>
      <w:r>
        <w:rPr>
          <w:rFonts w:hint="eastAsia" w:ascii="仿宋_GB2312" w:hAnsi="宋体" w:eastAsia="仿宋_GB2312" w:cs="宋体"/>
          <w:color w:val="000000"/>
          <w:kern w:val="0"/>
          <w:sz w:val="32"/>
          <w:szCs w:val="32"/>
          <w:lang w:val="en-US" w:eastAsia="zh-CN"/>
        </w:rPr>
        <w:t>21</w:t>
      </w:r>
      <w:r>
        <w:rPr>
          <w:rFonts w:hint="eastAsia" w:ascii="仿宋_GB2312" w:hAnsi="宋体" w:eastAsia="仿宋_GB2312" w:cs="宋体"/>
          <w:color w:val="000000"/>
          <w:kern w:val="0"/>
          <w:sz w:val="32"/>
          <w:szCs w:val="32"/>
        </w:rPr>
        <w:t>万元，其中，基本支出预算数10,426.</w:t>
      </w:r>
      <w:r>
        <w:rPr>
          <w:rFonts w:hint="eastAsia" w:ascii="仿宋_GB2312" w:hAnsi="宋体" w:eastAsia="仿宋_GB2312" w:cs="宋体"/>
          <w:color w:val="000000"/>
          <w:kern w:val="0"/>
          <w:sz w:val="32"/>
          <w:szCs w:val="32"/>
          <w:lang w:val="en-US" w:eastAsia="zh-CN"/>
        </w:rPr>
        <w:t>92</w:t>
      </w:r>
      <w:r>
        <w:rPr>
          <w:rFonts w:hint="eastAsia" w:ascii="仿宋_GB2312" w:hAnsi="宋体" w:eastAsia="仿宋_GB2312" w:cs="宋体"/>
          <w:color w:val="000000"/>
          <w:kern w:val="0"/>
          <w:sz w:val="32"/>
          <w:szCs w:val="32"/>
        </w:rPr>
        <w:t>万元，项目支出预算数3,610.29万元。资金总体支出12,895.6</w:t>
      </w:r>
      <w:r>
        <w:rPr>
          <w:rFonts w:hint="eastAsia" w:ascii="仿宋_GB2312" w:hAnsi="宋体" w:eastAsia="仿宋_GB2312" w:cs="宋体"/>
          <w:color w:val="000000"/>
          <w:kern w:val="0"/>
          <w:sz w:val="32"/>
          <w:szCs w:val="32"/>
          <w:lang w:val="en-US" w:eastAsia="zh-CN"/>
        </w:rPr>
        <w:t>7</w:t>
      </w:r>
      <w:r>
        <w:rPr>
          <w:rFonts w:hint="eastAsia" w:ascii="仿宋_GB2312" w:hAnsi="宋体" w:eastAsia="仿宋_GB2312" w:cs="宋体"/>
          <w:color w:val="000000"/>
          <w:kern w:val="0"/>
          <w:sz w:val="32"/>
          <w:szCs w:val="32"/>
        </w:rPr>
        <w:t>万元，其中，基本支出9,333.67万元，项目支出3,56</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00</w:t>
      </w:r>
      <w:r>
        <w:rPr>
          <w:rFonts w:hint="eastAsia"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预算执行率为91.87%。</w:t>
      </w:r>
    </w:p>
    <w:p>
      <w:pPr>
        <w:snapToGrid w:val="0"/>
        <w:spacing w:line="520" w:lineRule="exact"/>
        <w:ind w:firstLine="640" w:firstLineChars="200"/>
        <w:outlineLvl w:val="0"/>
        <w:rPr>
          <w:rFonts w:ascii="黑体" w:hAnsi="黑体" w:eastAsia="黑体"/>
          <w:sz w:val="32"/>
          <w:szCs w:val="32"/>
        </w:rPr>
      </w:pPr>
      <w:bookmarkStart w:id="5" w:name="_Toc103362017"/>
      <w:r>
        <w:rPr>
          <w:rFonts w:hint="eastAsia" w:ascii="黑体" w:hAnsi="黑体" w:eastAsia="黑体"/>
          <w:sz w:val="32"/>
          <w:szCs w:val="32"/>
        </w:rPr>
        <w:t>三</w:t>
      </w:r>
      <w:r>
        <w:rPr>
          <w:rFonts w:ascii="黑体" w:hAnsi="黑体" w:eastAsia="黑体"/>
          <w:sz w:val="32"/>
          <w:szCs w:val="32"/>
        </w:rPr>
        <w:t>、整体绩效目标实现情况</w:t>
      </w:r>
      <w:bookmarkEnd w:id="5"/>
    </w:p>
    <w:p>
      <w:pPr>
        <w:snapToGrid w:val="0"/>
        <w:spacing w:line="520" w:lineRule="exact"/>
        <w:ind w:firstLine="640" w:firstLineChars="200"/>
        <w:outlineLvl w:val="1"/>
        <w:rPr>
          <w:rFonts w:ascii="楷体_GB2312" w:hAnsi="仿宋" w:eastAsia="楷体_GB2312"/>
          <w:sz w:val="32"/>
          <w:szCs w:val="32"/>
        </w:rPr>
      </w:pPr>
      <w:bookmarkStart w:id="6" w:name="_Toc103362018"/>
      <w:r>
        <w:rPr>
          <w:rFonts w:hint="eastAsia" w:ascii="楷体_GB2312" w:hAnsi="仿宋" w:eastAsia="楷体_GB2312"/>
          <w:sz w:val="32"/>
          <w:szCs w:val="32"/>
        </w:rPr>
        <w:t>（一）产出完成情况分析</w:t>
      </w:r>
      <w:bookmarkEnd w:id="6"/>
    </w:p>
    <w:p>
      <w:pPr>
        <w:spacing w:line="560" w:lineRule="exact"/>
        <w:ind w:firstLine="642"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1.产出数量</w:t>
      </w:r>
    </w:p>
    <w:p>
      <w:pPr>
        <w:spacing w:line="560" w:lineRule="exact"/>
        <w:ind w:firstLine="642"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color w:val="000000"/>
          <w:kern w:val="0"/>
          <w:sz w:val="32"/>
          <w:szCs w:val="32"/>
        </w:rPr>
        <w:t>信息报送及时准确。围绕全市中心工作，坚持问题导向，切实强化主动意识、精品意识和创新意识，政务信息加大“落实与反馈”、“问题与建议”等栏目比重，信息坚持全天候监测、强化风险研判，全年共策划编发各类信息刊物1654期，同比下降24.6%，获领导批示2790余条，同比增加20.3%。</w:t>
      </w:r>
    </w:p>
    <w:p>
      <w:pPr>
        <w:spacing w:line="560" w:lineRule="exact"/>
        <w:ind w:firstLine="642"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二是</w:t>
      </w:r>
      <w:r>
        <w:rPr>
          <w:rFonts w:hint="eastAsia" w:ascii="仿宋_GB2312" w:hAnsi="宋体" w:eastAsia="仿宋_GB2312" w:cs="宋体"/>
          <w:color w:val="000000"/>
          <w:kern w:val="0"/>
          <w:sz w:val="32"/>
          <w:szCs w:val="32"/>
        </w:rPr>
        <w:t>调研活动安排务实规范、联络服务主动作为。围绕推动首都高质量发展、持续保障和改善民生两条主线，聚焦领导关心关注问题，服务保障市长开展调研</w:t>
      </w:r>
      <w:r>
        <w:rPr>
          <w:rFonts w:hint="eastAsia" w:ascii="仿宋_GB2312" w:eastAsia="仿宋_GB2312"/>
          <w:sz w:val="32"/>
          <w:szCs w:val="32"/>
        </w:rPr>
        <w:t>178</w:t>
      </w:r>
      <w:r>
        <w:rPr>
          <w:rFonts w:hint="eastAsia" w:ascii="仿宋_GB2312" w:hAnsi="宋体" w:eastAsia="仿宋_GB2312" w:cs="宋体"/>
          <w:color w:val="000000"/>
          <w:kern w:val="0"/>
          <w:sz w:val="32"/>
          <w:szCs w:val="32"/>
        </w:rPr>
        <w:t>次（含“双调研”85次），其中“四不两直”方式调研41次、占比44%，“蹲点”调研10余次。从严审核，统筹安排市领导出席各类内事会议活动600余次；组织安排市长与社会各界人士会见54次、113人次。推进值班专业化规范化建设，建立联合调度机制，加强重大突发事件协调调度。及时准确报告突发事件和重要敏感情况，向国办报送值班信息253期，采用110余期，获批示20余条。圆满完成全国及市“两会”服务保障任务。统筹组织、依法办复议案4件、建议提案2043件。服务保障市政府领导及部门向市人大常委会和市政协报告工作54项，组织服务全国人大全国政协、市人大市政协调研座谈等活动70次。</w:t>
      </w:r>
    </w:p>
    <w:p>
      <w:pPr>
        <w:spacing w:line="560" w:lineRule="exact"/>
        <w:ind w:firstLine="642" w:firstLineChars="200"/>
        <w:rPr>
          <w:rFonts w:ascii="仿宋_GB2312" w:hAnsi="宋体" w:eastAsia="仿宋_GB2312" w:cs="宋体"/>
          <w:color w:val="000000"/>
          <w:kern w:val="0"/>
          <w:sz w:val="32"/>
          <w:szCs w:val="32"/>
        </w:rPr>
      </w:pPr>
      <w:r>
        <w:rPr>
          <w:rFonts w:hint="eastAsia" w:ascii="仿宋_GB2312" w:hAnsi="仿宋" w:eastAsia="仿宋_GB2312"/>
          <w:b/>
          <w:bCs/>
          <w:sz w:val="32"/>
          <w:szCs w:val="32"/>
        </w:rPr>
        <w:t>三是</w:t>
      </w:r>
      <w:r>
        <w:rPr>
          <w:rFonts w:ascii="仿宋_GB2312" w:hAnsi="仿宋" w:eastAsia="仿宋_GB2312"/>
          <w:sz w:val="32"/>
          <w:szCs w:val="32"/>
        </w:rPr>
        <w:t>督查</w:t>
      </w:r>
      <w:r>
        <w:rPr>
          <w:rFonts w:hint="eastAsia" w:ascii="仿宋_GB2312" w:hAnsi="仿宋" w:eastAsia="仿宋_GB2312"/>
          <w:sz w:val="32"/>
          <w:szCs w:val="32"/>
        </w:rPr>
        <w:t>考核成效显著。对习近平总书记重要指示批示涉及市政府系统的124项任务落实情况开展“回头看”，中央巡视整改涉及市政府办公厅的7项任务全部完成。推动287项市政府工作报告重点任务和</w:t>
      </w:r>
      <w:r>
        <w:rPr>
          <w:rFonts w:hint="eastAsia" w:ascii="仿宋_GB2312" w:eastAsia="仿宋_GB2312"/>
          <w:sz w:val="32"/>
          <w:szCs w:val="32"/>
        </w:rPr>
        <w:t>31</w:t>
      </w:r>
      <w:r>
        <w:rPr>
          <w:rFonts w:hint="eastAsia" w:ascii="仿宋_GB2312" w:hAnsi="仿宋" w:eastAsia="仿宋_GB2312"/>
          <w:sz w:val="32"/>
          <w:szCs w:val="32"/>
        </w:rPr>
        <w:t>项重要民生实事项目全面落实。强化暗查暗访，围绕社会面疫情防控、国庆假期“一日游”、燃气安全隐患等，深入基层一线暗访核查、找到症结、提出建议，推动问题解决。细致做好国务院第八次大督查、优化营商环境专项督查服务保障工作，抓好相关问题督办落实。办理国务院“互联网+督查”平台问题线索1608件，办结1301件。围绕城市治理、科技创新、扩大消费等重点领域和群众身边“关键小事”，督办市长批示交办和调研决策事项2217件，办结1990件。创新察访核验方式，用足用好“市政府督查平台”，提升督查工作的规范性和实效性。扎实开展2021年度绩效管理工作，健全日常履职考核机制，制定实施年度考核方案。严格审核政府系统督查检查考核事项，市级部门督查检查事项由13项精简至8项，考核事项由16项精简至13项。</w:t>
      </w:r>
    </w:p>
    <w:p>
      <w:pPr>
        <w:spacing w:line="560" w:lineRule="exact"/>
        <w:ind w:firstLine="642" w:firstLineChars="200"/>
        <w:rPr>
          <w:rFonts w:hint="eastAsia" w:ascii="仿宋_GB2312" w:hAnsi="仿宋" w:eastAsia="仿宋_GB2312"/>
          <w:sz w:val="32"/>
          <w:szCs w:val="32"/>
        </w:rPr>
      </w:pPr>
      <w:r>
        <w:rPr>
          <w:rFonts w:hint="eastAsia" w:ascii="仿宋_GB2312" w:hAnsi="仿宋" w:eastAsia="仿宋_GB2312"/>
          <w:b/>
          <w:bCs/>
          <w:sz w:val="32"/>
          <w:szCs w:val="32"/>
        </w:rPr>
        <w:t>四是</w:t>
      </w:r>
      <w:r>
        <w:rPr>
          <w:rFonts w:hint="eastAsia" w:ascii="仿宋_GB2312" w:hAnsi="仿宋" w:eastAsia="仿宋_GB2312"/>
          <w:sz w:val="32"/>
          <w:szCs w:val="32"/>
        </w:rPr>
        <w:t>圆满完成</w:t>
      </w:r>
      <w:r>
        <w:rPr>
          <w:rFonts w:hint="eastAsia" w:ascii="仿宋_GB2312" w:eastAsia="仿宋_GB2312"/>
          <w:sz w:val="32"/>
          <w:szCs w:val="32"/>
        </w:rPr>
        <w:t>市委市政府</w:t>
      </w:r>
      <w:r>
        <w:rPr>
          <w:rFonts w:hint="eastAsia" w:ascii="仿宋_GB2312" w:hAnsi="仿宋" w:eastAsia="仿宋_GB2312"/>
          <w:sz w:val="32"/>
          <w:szCs w:val="32"/>
        </w:rPr>
        <w:t>重大活动服务保障任务。坚持把建党百年庆祝活动服务保障作为最生动、最实际的党史学习教育，牵头负责庆祝活动领导小组调度运行中心工作，厅党组成员在相关工作组担任职务、承担任务，20余名干部全程参与服务保障，详细制定5场活动组织方案，审核上班90余份材料，召开12次观礼单位内部培训会，确保了3次活动演练、2场文艺演出，选取60个关键节点规范敷设马道，明确了98个重要时间节点，确定17类媒体音响设备设施具体点位，圆满完成了演练和庆祝大会保障任务。</w:t>
      </w:r>
    </w:p>
    <w:p>
      <w:pPr>
        <w:spacing w:line="560" w:lineRule="exact"/>
        <w:ind w:firstLine="642" w:firstLineChars="200"/>
        <w:rPr>
          <w:rFonts w:hint="eastAsia" w:ascii="仿宋_GB2312" w:hAnsi="仿宋" w:eastAsia="仿宋_GB2312"/>
          <w:sz w:val="32"/>
          <w:szCs w:val="32"/>
        </w:rPr>
      </w:pPr>
      <w:r>
        <w:rPr>
          <w:rFonts w:hint="eastAsia" w:ascii="仿宋_GB2312" w:hAnsi="仿宋" w:eastAsia="仿宋_GB2312"/>
          <w:b/>
          <w:bCs/>
          <w:sz w:val="32"/>
          <w:szCs w:val="32"/>
          <w:lang w:val="en" w:eastAsia="zh-CN"/>
        </w:rPr>
        <w:t>五是</w:t>
      </w:r>
      <w:r>
        <w:rPr>
          <w:rFonts w:hint="eastAsia" w:ascii="仿宋_GB2312" w:hAnsi="仿宋" w:eastAsia="仿宋_GB2312"/>
          <w:sz w:val="32"/>
          <w:szCs w:val="32"/>
          <w:lang w:val="en" w:eastAsia="zh-CN"/>
        </w:rPr>
        <w:t>顺利保障信息化工作。建设移动办公平台，开通公文批办、政府信息、活动安排等</w:t>
      </w:r>
      <w:r>
        <w:rPr>
          <w:rFonts w:hint="eastAsia" w:ascii="仿宋_GB2312" w:hAnsi="仿宋" w:eastAsia="仿宋_GB2312"/>
          <w:sz w:val="32"/>
          <w:szCs w:val="32"/>
          <w:lang w:val="en-US" w:eastAsia="zh-CN"/>
        </w:rPr>
        <w:t>22个功能模块。全年市领导使用移动终端批阅公文、信息简报7万余件。高水平提供会议技术保障，全年累计保障视频会议6399次、现场会议1473次，处置会议系统突发故障150次。</w:t>
      </w:r>
    </w:p>
    <w:p>
      <w:pPr>
        <w:spacing w:line="560" w:lineRule="exact"/>
        <w:ind w:firstLine="642"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2.产出</w:t>
      </w:r>
      <w:r>
        <w:rPr>
          <w:rFonts w:ascii="仿宋_GB2312" w:hAnsi="宋体" w:eastAsia="仿宋_GB2312" w:cs="宋体"/>
          <w:b/>
          <w:bCs/>
          <w:color w:val="000000"/>
          <w:kern w:val="0"/>
          <w:sz w:val="32"/>
          <w:szCs w:val="32"/>
        </w:rPr>
        <w:t>质量</w:t>
      </w:r>
    </w:p>
    <w:p>
      <w:pPr>
        <w:spacing w:line="560" w:lineRule="exact"/>
        <w:ind w:firstLine="640" w:firstLineChars="200"/>
        <w:rPr>
          <w:rFonts w:hint="eastAsia" w:ascii="仿宋_GB2312" w:eastAsia="仿宋_GB2312"/>
          <w:sz w:val="32"/>
          <w:szCs w:val="32"/>
          <w:highlight w:val="yellow"/>
          <w:lang w:val="en" w:eastAsia="zh-CN"/>
        </w:rPr>
      </w:pPr>
      <w:r>
        <w:rPr>
          <w:rFonts w:hint="eastAsia" w:ascii="仿宋_GB2312" w:eastAsia="仿宋_GB2312"/>
          <w:sz w:val="32"/>
          <w:szCs w:val="32"/>
        </w:rPr>
        <w:t>围绕“更高水平当参谋、更高效率保运转、更高质量抓落实”等内容，积极推进信息报送及办文办会、政务督查、信息化保障等多项工作，认真贯彻落实市委、市政府工作要求，各项职能职责积极有效履行，其中</w:t>
      </w:r>
      <w:r>
        <w:rPr>
          <w:rFonts w:hint="eastAsia" w:ascii="仿宋_GB2312" w:hAnsi="宋体" w:eastAsia="仿宋_GB2312" w:cs="宋体"/>
          <w:color w:val="000000"/>
          <w:kern w:val="0"/>
          <w:sz w:val="32"/>
          <w:szCs w:val="32"/>
        </w:rPr>
        <w:t>“</w:t>
      </w:r>
      <w:r>
        <w:rPr>
          <w:rFonts w:hint="eastAsia" w:ascii="仿宋_GB2312" w:eastAsia="仿宋_GB2312"/>
          <w:sz w:val="32"/>
          <w:szCs w:val="32"/>
        </w:rPr>
        <w:t>办文办会</w:t>
      </w:r>
      <w:r>
        <w:rPr>
          <w:rFonts w:hint="eastAsia" w:ascii="仿宋_GB2312" w:hAnsi="宋体" w:eastAsia="仿宋_GB2312" w:cs="宋体"/>
          <w:color w:val="000000"/>
          <w:kern w:val="0"/>
          <w:sz w:val="32"/>
          <w:szCs w:val="32"/>
        </w:rPr>
        <w:t>”统筹组织、依法办复议案4件、建议提案2043件；</w:t>
      </w:r>
      <w:r>
        <w:rPr>
          <w:rFonts w:hint="eastAsia" w:ascii="仿宋_GB2312" w:eastAsia="仿宋_GB2312"/>
          <w:sz w:val="32"/>
          <w:szCs w:val="32"/>
        </w:rPr>
        <w:t>“政务督查”</w:t>
      </w:r>
      <w:r>
        <w:rPr>
          <w:rFonts w:hint="eastAsia" w:ascii="仿宋_GB2312" w:hAnsi="仿宋" w:eastAsia="仿宋_GB2312"/>
          <w:sz w:val="32"/>
          <w:szCs w:val="32"/>
        </w:rPr>
        <w:t>组织完成“政务外包”专项整治，得到市委巡视办肯定；</w:t>
      </w:r>
      <w:r>
        <w:rPr>
          <w:rFonts w:hint="eastAsia" w:ascii="仿宋_GB2312" w:hAnsi="仿宋" w:eastAsia="仿宋_GB2312"/>
          <w:sz w:val="32"/>
          <w:szCs w:val="32"/>
          <w:lang w:eastAsia="zh-CN"/>
        </w:rPr>
        <w:t>“</w:t>
      </w:r>
      <w:r>
        <w:rPr>
          <w:rFonts w:hint="eastAsia" w:ascii="仿宋_GB2312" w:eastAsia="仿宋_GB2312"/>
          <w:sz w:val="32"/>
          <w:szCs w:val="32"/>
        </w:rPr>
        <w:t>联络服务</w:t>
      </w:r>
      <w:r>
        <w:rPr>
          <w:rFonts w:hint="eastAsia" w:ascii="仿宋_GB2312" w:hAnsi="仿宋" w:eastAsia="仿宋_GB2312"/>
          <w:sz w:val="32"/>
          <w:szCs w:val="32"/>
          <w:lang w:eastAsia="zh-CN"/>
        </w:rPr>
        <w:t>”</w:t>
      </w:r>
      <w:r>
        <w:rPr>
          <w:rFonts w:hint="eastAsia" w:ascii="仿宋_GB2312" w:hAnsi="宋体" w:eastAsia="仿宋_GB2312" w:cs="宋体"/>
          <w:color w:val="000000"/>
          <w:kern w:val="0"/>
          <w:sz w:val="32"/>
          <w:szCs w:val="32"/>
        </w:rPr>
        <w:t>向国办报送值班信息253期，采用110余期，获批示20余条</w:t>
      </w:r>
      <w:r>
        <w:rPr>
          <w:rFonts w:hint="eastAsia" w:ascii="仿宋_GB2312" w:hAnsi="仿宋" w:eastAsia="仿宋_GB2312"/>
          <w:sz w:val="32"/>
          <w:szCs w:val="32"/>
        </w:rPr>
        <w:t>；</w:t>
      </w:r>
      <w:r>
        <w:rPr>
          <w:rFonts w:hint="eastAsia" w:ascii="仿宋_GB2312" w:eastAsia="仿宋_GB2312"/>
          <w:sz w:val="32"/>
          <w:szCs w:val="32"/>
        </w:rPr>
        <w:t>“服务保障”按照</w:t>
      </w:r>
      <w:r>
        <w:rPr>
          <w:rFonts w:hint="eastAsia" w:ascii="仿宋_GB2312" w:hAnsi="仿宋" w:eastAsia="仿宋_GB2312"/>
          <w:sz w:val="32"/>
          <w:szCs w:val="32"/>
        </w:rPr>
        <w:t>“精精益求精、万万无一失”标准，圆满完成了</w:t>
      </w:r>
      <w:r>
        <w:rPr>
          <w:rFonts w:hint="eastAsia" w:ascii="仿宋_GB2312" w:eastAsia="仿宋_GB2312"/>
          <w:sz w:val="32"/>
          <w:szCs w:val="32"/>
        </w:rPr>
        <w:t>市委市政府</w:t>
      </w:r>
      <w:r>
        <w:rPr>
          <w:rFonts w:hint="eastAsia" w:ascii="仿宋_GB2312" w:hAnsi="仿宋" w:eastAsia="仿宋_GB2312"/>
          <w:sz w:val="32"/>
          <w:szCs w:val="32"/>
        </w:rPr>
        <w:t>重大活动服务保障任务任务</w:t>
      </w:r>
      <w:r>
        <w:rPr>
          <w:rFonts w:hint="eastAsia" w:ascii="仿宋_GB2312" w:hAnsi="仿宋" w:eastAsia="仿宋_GB2312"/>
          <w:sz w:val="32"/>
          <w:szCs w:val="32"/>
          <w:lang w:eastAsia="zh-CN"/>
        </w:rPr>
        <w:t>。</w:t>
      </w:r>
    </w:p>
    <w:p>
      <w:pPr>
        <w:spacing w:line="560" w:lineRule="exact"/>
        <w:ind w:firstLine="642"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3.产出</w:t>
      </w:r>
      <w:r>
        <w:rPr>
          <w:rFonts w:ascii="仿宋_GB2312" w:hAnsi="宋体" w:eastAsia="仿宋_GB2312" w:cs="宋体"/>
          <w:b/>
          <w:bCs/>
          <w:color w:val="000000"/>
          <w:kern w:val="0"/>
          <w:sz w:val="32"/>
          <w:szCs w:val="32"/>
        </w:rPr>
        <w:t>进度</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年度，办公厅重点工作及重点项目</w:t>
      </w:r>
      <w:r>
        <w:rPr>
          <w:rFonts w:hint="eastAsia" w:ascii="仿宋_GB2312" w:hAnsi="宋体" w:eastAsia="仿宋_GB2312" w:cs="宋体"/>
          <w:color w:val="000000"/>
          <w:kern w:val="0"/>
          <w:sz w:val="32"/>
          <w:szCs w:val="32"/>
          <w:lang w:eastAsia="zh-CN"/>
        </w:rPr>
        <w:t>基本按照年初</w:t>
      </w:r>
      <w:r>
        <w:rPr>
          <w:rFonts w:hint="eastAsia" w:ascii="仿宋_GB2312" w:hAnsi="宋体" w:eastAsia="仿宋_GB2312" w:cs="宋体"/>
          <w:color w:val="000000"/>
          <w:kern w:val="0"/>
          <w:sz w:val="32"/>
          <w:szCs w:val="32"/>
        </w:rPr>
        <w:t>计划</w:t>
      </w:r>
      <w:r>
        <w:rPr>
          <w:rFonts w:hint="eastAsia" w:ascii="仿宋_GB2312" w:hAnsi="宋体" w:eastAsia="仿宋_GB2312" w:cs="宋体"/>
          <w:color w:val="000000"/>
          <w:kern w:val="0"/>
          <w:sz w:val="32"/>
          <w:szCs w:val="32"/>
          <w:lang w:eastAsia="zh-CN"/>
        </w:rPr>
        <w:t>实施</w:t>
      </w:r>
      <w:r>
        <w:rPr>
          <w:rFonts w:hint="eastAsia" w:ascii="仿宋_GB2312" w:hAnsi="宋体" w:eastAsia="仿宋_GB2312" w:cs="宋体"/>
          <w:color w:val="000000"/>
          <w:kern w:val="0"/>
          <w:sz w:val="32"/>
          <w:szCs w:val="32"/>
        </w:rPr>
        <w:t>，并达成</w:t>
      </w:r>
      <w:r>
        <w:rPr>
          <w:rFonts w:hint="eastAsia" w:ascii="仿宋_GB2312" w:hAnsi="宋体" w:eastAsia="仿宋_GB2312" w:cs="宋体"/>
          <w:color w:val="000000"/>
          <w:kern w:val="0"/>
          <w:sz w:val="32"/>
          <w:szCs w:val="32"/>
          <w:lang w:eastAsia="zh-CN"/>
        </w:rPr>
        <w:t>了</w:t>
      </w:r>
      <w:r>
        <w:rPr>
          <w:rFonts w:hint="eastAsia" w:ascii="仿宋_GB2312" w:hAnsi="宋体" w:eastAsia="仿宋_GB2312" w:cs="宋体"/>
          <w:color w:val="000000"/>
          <w:kern w:val="0"/>
          <w:sz w:val="32"/>
          <w:szCs w:val="32"/>
        </w:rPr>
        <w:t>预期目标</w:t>
      </w:r>
      <w:r>
        <w:rPr>
          <w:rFonts w:hint="eastAsia" w:ascii="仿宋_GB2312" w:hAnsi="宋体" w:eastAsia="仿宋_GB2312" w:cs="宋体"/>
          <w:color w:val="000000"/>
          <w:kern w:val="0"/>
          <w:sz w:val="32"/>
          <w:szCs w:val="32"/>
          <w:lang w:eastAsia="zh-CN"/>
        </w:rPr>
        <w:t>，但受疫情影响</w:t>
      </w:r>
      <w:r>
        <w:rPr>
          <w:rFonts w:hint="eastAsia" w:ascii="仿宋_GB2312" w:hAnsi="仿宋" w:eastAsia="仿宋_GB2312" w:cs="仿宋"/>
          <w:color w:val="000000"/>
          <w:sz w:val="32"/>
          <w:szCs w:val="32"/>
          <w:lang w:eastAsia="zh-CN"/>
        </w:rPr>
        <w:t>，</w:t>
      </w:r>
      <w:r>
        <w:rPr>
          <w:rFonts w:hint="eastAsia" w:ascii="仿宋_GB2312" w:hAnsi="宋体" w:eastAsia="仿宋_GB2312" w:cs="宋体"/>
          <w:color w:val="000000"/>
          <w:kern w:val="0"/>
          <w:sz w:val="32"/>
          <w:szCs w:val="32"/>
        </w:rPr>
        <w:t>因公出国经费、老干部活动经费</w:t>
      </w:r>
      <w:r>
        <w:rPr>
          <w:rFonts w:hint="eastAsia" w:ascii="仿宋_GB2312" w:hAnsi="宋体" w:eastAsia="仿宋_GB2312" w:cs="宋体"/>
          <w:color w:val="000000"/>
          <w:kern w:val="0"/>
          <w:sz w:val="32"/>
          <w:szCs w:val="32"/>
          <w:lang w:eastAsia="zh-CN"/>
        </w:rPr>
        <w:t>等</w:t>
      </w:r>
      <w:r>
        <w:rPr>
          <w:rFonts w:hint="eastAsia" w:ascii="仿宋_GB2312" w:hAnsi="宋体" w:eastAsia="仿宋_GB2312" w:cs="宋体"/>
          <w:color w:val="000000"/>
          <w:kern w:val="0"/>
          <w:sz w:val="32"/>
          <w:szCs w:val="32"/>
          <w:lang w:val="en-US" w:eastAsia="zh-CN"/>
        </w:rPr>
        <w:t>2个项目</w:t>
      </w:r>
      <w:r>
        <w:rPr>
          <w:rFonts w:hint="eastAsia" w:ascii="仿宋_GB2312" w:hAnsi="仿宋" w:eastAsia="仿宋_GB2312" w:cs="仿宋"/>
          <w:color w:val="000000"/>
          <w:sz w:val="32"/>
          <w:szCs w:val="32"/>
        </w:rPr>
        <w:t>未</w:t>
      </w:r>
      <w:r>
        <w:rPr>
          <w:rFonts w:hint="eastAsia" w:ascii="仿宋_GB2312" w:hAnsi="仿宋" w:eastAsia="仿宋_GB2312" w:cs="仿宋"/>
          <w:color w:val="000000"/>
          <w:sz w:val="32"/>
          <w:szCs w:val="32"/>
          <w:lang w:eastAsia="zh-CN"/>
        </w:rPr>
        <w:t>能</w:t>
      </w:r>
      <w:r>
        <w:rPr>
          <w:rFonts w:hint="eastAsia" w:ascii="仿宋_GB2312" w:hAnsi="仿宋" w:eastAsia="仿宋_GB2312" w:cs="仿宋"/>
          <w:color w:val="000000"/>
          <w:sz w:val="32"/>
          <w:szCs w:val="32"/>
        </w:rPr>
        <w:t>开展</w:t>
      </w:r>
      <w:r>
        <w:rPr>
          <w:rFonts w:hint="eastAsia" w:ascii="仿宋_GB2312" w:hAnsi="仿宋" w:eastAsia="仿宋_GB2312" w:cs="仿宋"/>
          <w:color w:val="000000"/>
          <w:sz w:val="32"/>
          <w:szCs w:val="32"/>
          <w:lang w:eastAsia="zh-CN"/>
        </w:rPr>
        <w:t>，</w:t>
      </w:r>
      <w:r>
        <w:rPr>
          <w:rFonts w:hint="eastAsia" w:ascii="仿宋_GB2312" w:hAnsi="宋体" w:eastAsia="仿宋_GB2312" w:cs="宋体"/>
          <w:color w:val="000000"/>
          <w:kern w:val="0"/>
          <w:sz w:val="32"/>
          <w:szCs w:val="32"/>
        </w:rPr>
        <w:t>信息咨询业务经费项目，招标、合同签订</w:t>
      </w:r>
      <w:r>
        <w:rPr>
          <w:rFonts w:hint="eastAsia" w:ascii="仿宋_GB2312" w:hAnsi="宋体" w:eastAsia="仿宋_GB2312" w:cs="宋体"/>
          <w:color w:val="000000"/>
          <w:kern w:val="0"/>
          <w:sz w:val="32"/>
          <w:szCs w:val="32"/>
          <w:lang w:eastAsia="zh-CN"/>
        </w:rPr>
        <w:t>与预期目标</w:t>
      </w:r>
      <w:r>
        <w:rPr>
          <w:rFonts w:hint="eastAsia" w:ascii="仿宋_GB2312" w:hAnsi="宋体" w:eastAsia="仿宋_GB2312" w:cs="宋体"/>
          <w:color w:val="000000"/>
          <w:kern w:val="0"/>
          <w:sz w:val="32"/>
          <w:szCs w:val="32"/>
        </w:rPr>
        <w:t>略有延迟</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公众满意度第三方调查</w:t>
      </w:r>
      <w:r>
        <w:rPr>
          <w:rFonts w:hint="eastAsia" w:ascii="仿宋_GB2312" w:eastAsia="仿宋_GB2312"/>
          <w:sz w:val="32"/>
          <w:szCs w:val="32"/>
        </w:rPr>
        <w:t>经费</w:t>
      </w:r>
      <w:r>
        <w:rPr>
          <w:rFonts w:hint="eastAsia" w:ascii="仿宋_GB2312" w:hAnsi="宋体" w:eastAsia="仿宋_GB2312" w:cs="宋体"/>
          <w:color w:val="000000"/>
          <w:kern w:val="0"/>
          <w:sz w:val="32"/>
          <w:szCs w:val="32"/>
        </w:rPr>
        <w:t>项目，合同签订</w:t>
      </w:r>
      <w:r>
        <w:rPr>
          <w:rFonts w:hint="eastAsia" w:ascii="仿宋_GB2312" w:hAnsi="宋体" w:eastAsia="仿宋_GB2312" w:cs="宋体"/>
          <w:color w:val="000000"/>
          <w:kern w:val="0"/>
          <w:sz w:val="32"/>
          <w:szCs w:val="32"/>
          <w:lang w:eastAsia="zh-CN"/>
        </w:rPr>
        <w:t>与预期目标</w:t>
      </w:r>
      <w:r>
        <w:rPr>
          <w:rFonts w:hint="eastAsia" w:ascii="仿宋_GB2312" w:hAnsi="宋体" w:eastAsia="仿宋_GB2312" w:cs="宋体"/>
          <w:color w:val="000000"/>
          <w:kern w:val="0"/>
          <w:sz w:val="32"/>
          <w:szCs w:val="32"/>
        </w:rPr>
        <w:t>略有延迟。</w:t>
      </w:r>
    </w:p>
    <w:p>
      <w:pPr>
        <w:spacing w:line="560" w:lineRule="exact"/>
        <w:ind w:firstLine="642" w:firstLineChars="200"/>
        <w:outlineLvl w:val="2"/>
        <w:rPr>
          <w:rFonts w:ascii="仿宋_GB2312" w:hAnsi="宋体" w:eastAsia="仿宋_GB2312" w:cs="宋体"/>
          <w:b/>
          <w:bCs/>
          <w:color w:val="000000"/>
          <w:kern w:val="0"/>
          <w:sz w:val="32"/>
          <w:szCs w:val="32"/>
        </w:rPr>
      </w:pPr>
      <w:r>
        <w:rPr>
          <w:rFonts w:ascii="仿宋_GB2312" w:hAnsi="宋体" w:eastAsia="仿宋_GB2312" w:cs="宋体"/>
          <w:b/>
          <w:bCs/>
          <w:color w:val="000000"/>
          <w:kern w:val="0"/>
          <w:sz w:val="32"/>
          <w:szCs w:val="32"/>
        </w:rPr>
        <w:t>4.</w:t>
      </w:r>
      <w:r>
        <w:rPr>
          <w:rFonts w:hint="eastAsia" w:ascii="仿宋_GB2312" w:hAnsi="宋体" w:eastAsia="仿宋_GB2312" w:cs="宋体"/>
          <w:b/>
          <w:bCs/>
          <w:color w:val="000000"/>
          <w:kern w:val="0"/>
          <w:sz w:val="32"/>
          <w:szCs w:val="32"/>
        </w:rPr>
        <w:t>产出</w:t>
      </w:r>
      <w:r>
        <w:rPr>
          <w:rFonts w:ascii="仿宋_GB2312" w:hAnsi="宋体" w:eastAsia="仿宋_GB2312" w:cs="宋体"/>
          <w:b/>
          <w:bCs/>
          <w:color w:val="000000"/>
          <w:kern w:val="0"/>
          <w:sz w:val="32"/>
          <w:szCs w:val="32"/>
        </w:rPr>
        <w:t>成本</w:t>
      </w:r>
    </w:p>
    <w:p>
      <w:pPr>
        <w:spacing w:line="560" w:lineRule="exact"/>
        <w:ind w:firstLine="642" w:firstLineChars="200"/>
        <w:rPr>
          <w:rFonts w:hint="eastAsia"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一是</w:t>
      </w:r>
      <w:r>
        <w:rPr>
          <w:rFonts w:hint="eastAsia" w:ascii="仿宋_GB2312" w:hAnsi="宋体" w:eastAsia="仿宋_GB2312" w:cs="宋体"/>
          <w:b/>
          <w:bCs/>
          <w:color w:val="000000"/>
          <w:kern w:val="0"/>
          <w:sz w:val="32"/>
          <w:szCs w:val="32"/>
          <w:lang w:eastAsia="zh-CN"/>
        </w:rPr>
        <w:t>节约部门整体支出。</w:t>
      </w:r>
      <w:r>
        <w:rPr>
          <w:rFonts w:hint="eastAsia" w:ascii="仿宋_GB2312" w:hAnsi="宋体" w:eastAsia="仿宋_GB2312" w:cs="宋体"/>
          <w:color w:val="000000"/>
          <w:kern w:val="0"/>
          <w:sz w:val="32"/>
          <w:szCs w:val="32"/>
        </w:rPr>
        <w:t>按照过“紧日子”的工作要求，压减预算支出</w:t>
      </w:r>
      <w:r>
        <w:rPr>
          <w:rFonts w:hint="eastAsia" w:ascii="仿宋_GB2312" w:hAnsi="宋体" w:eastAsia="仿宋_GB2312" w:cs="宋体"/>
          <w:color w:val="000000"/>
          <w:kern w:val="0"/>
          <w:sz w:val="32"/>
          <w:szCs w:val="32"/>
          <w:lang w:eastAsia="zh-CN"/>
        </w:rPr>
        <w:t>，</w:t>
      </w:r>
      <w:r>
        <w:rPr>
          <w:rFonts w:ascii="仿宋_GB2312" w:hAnsi="宋体" w:eastAsia="仿宋_GB2312" w:cs="宋体"/>
          <w:color w:val="000000"/>
          <w:kern w:val="0"/>
          <w:sz w:val="32"/>
          <w:szCs w:val="32"/>
        </w:rPr>
        <w:t>2021年</w:t>
      </w:r>
      <w:r>
        <w:rPr>
          <w:rFonts w:hint="eastAsia" w:ascii="仿宋_GB2312" w:hAnsi="宋体" w:eastAsia="仿宋_GB2312" w:cs="宋体"/>
          <w:color w:val="000000"/>
          <w:kern w:val="0"/>
          <w:sz w:val="32"/>
          <w:szCs w:val="32"/>
        </w:rPr>
        <w:t>全年支出</w:t>
      </w:r>
      <w:r>
        <w:rPr>
          <w:rFonts w:ascii="仿宋_GB2312" w:hAnsi="宋体" w:eastAsia="仿宋_GB2312" w:cs="宋体"/>
          <w:color w:val="000000"/>
          <w:kern w:val="0"/>
          <w:sz w:val="32"/>
          <w:szCs w:val="32"/>
        </w:rPr>
        <w:t>12,895.</w:t>
      </w:r>
      <w:r>
        <w:rPr>
          <w:rFonts w:hint="eastAsia" w:ascii="仿宋_GB2312" w:hAnsi="宋体" w:eastAsia="仿宋_GB2312" w:cs="宋体"/>
          <w:color w:val="000000"/>
          <w:kern w:val="0"/>
          <w:sz w:val="32"/>
          <w:szCs w:val="32"/>
          <w:lang w:val="en-US" w:eastAsia="zh-CN"/>
        </w:rPr>
        <w:t>67</w:t>
      </w:r>
      <w:r>
        <w:rPr>
          <w:rFonts w:hint="eastAsia" w:ascii="仿宋_GB2312" w:hAnsi="宋体" w:eastAsia="仿宋_GB2312" w:cs="宋体"/>
          <w:color w:val="000000"/>
          <w:kern w:val="0"/>
          <w:sz w:val="32"/>
          <w:szCs w:val="32"/>
        </w:rPr>
        <w:t>万元，比</w:t>
      </w:r>
      <w:r>
        <w:rPr>
          <w:rFonts w:ascii="仿宋_GB2312" w:hAnsi="宋体" w:eastAsia="仿宋_GB2312" w:cs="宋体"/>
          <w:color w:val="000000"/>
          <w:kern w:val="0"/>
          <w:sz w:val="32"/>
          <w:szCs w:val="32"/>
        </w:rPr>
        <w:t>2020年</w:t>
      </w:r>
      <w:r>
        <w:rPr>
          <w:rFonts w:hint="eastAsia" w:ascii="仿宋_GB2312" w:hAnsi="宋体" w:eastAsia="仿宋_GB2312" w:cs="宋体"/>
          <w:color w:val="000000"/>
          <w:kern w:val="0"/>
          <w:sz w:val="32"/>
          <w:szCs w:val="32"/>
        </w:rPr>
        <w:t>全年支出的</w:t>
      </w:r>
      <w:r>
        <w:rPr>
          <w:rFonts w:ascii="仿宋_GB2312" w:hAnsi="宋体" w:eastAsia="仿宋_GB2312" w:cs="宋体"/>
          <w:color w:val="000000"/>
          <w:kern w:val="0"/>
          <w:sz w:val="32"/>
          <w:szCs w:val="32"/>
        </w:rPr>
        <w:t>13,607.</w:t>
      </w:r>
      <w:r>
        <w:rPr>
          <w:rFonts w:hint="eastAsia" w:ascii="仿宋_GB2312" w:hAnsi="宋体" w:eastAsia="仿宋_GB2312" w:cs="宋体"/>
          <w:color w:val="000000"/>
          <w:kern w:val="0"/>
          <w:sz w:val="32"/>
          <w:szCs w:val="32"/>
          <w:lang w:val="en-US" w:eastAsia="zh-CN"/>
        </w:rPr>
        <w:t>25</w:t>
      </w:r>
      <w:r>
        <w:rPr>
          <w:rFonts w:hint="eastAsia" w:ascii="仿宋_GB2312" w:hAnsi="宋体" w:eastAsia="仿宋_GB2312" w:cs="宋体"/>
          <w:color w:val="000000"/>
          <w:kern w:val="0"/>
          <w:sz w:val="32"/>
          <w:szCs w:val="32"/>
        </w:rPr>
        <w:t>万元，减少</w:t>
      </w:r>
      <w:r>
        <w:rPr>
          <w:rFonts w:ascii="仿宋_GB2312" w:hAnsi="宋体" w:eastAsia="仿宋_GB2312" w:cs="宋体"/>
          <w:color w:val="000000"/>
          <w:kern w:val="0"/>
          <w:sz w:val="32"/>
          <w:szCs w:val="32"/>
        </w:rPr>
        <w:t>711.58</w:t>
      </w:r>
      <w:r>
        <w:rPr>
          <w:rFonts w:hint="eastAsia" w:ascii="仿宋_GB2312" w:hAnsi="宋体" w:eastAsia="仿宋_GB2312" w:cs="宋体"/>
          <w:color w:val="000000"/>
          <w:kern w:val="0"/>
          <w:sz w:val="32"/>
          <w:szCs w:val="32"/>
        </w:rPr>
        <w:t>万元。</w:t>
      </w:r>
    </w:p>
    <w:p>
      <w:pPr>
        <w:spacing w:line="560" w:lineRule="exact"/>
        <w:ind w:firstLine="642" w:firstLineChars="200"/>
        <w:rPr>
          <w:rFonts w:hint="eastAsia" w:ascii="仿宋_GB2312" w:hAnsi="仿宋" w:eastAsia="仿宋_GB2312" w:cs="仿宋"/>
          <w:color w:val="000000"/>
          <w:sz w:val="32"/>
          <w:szCs w:val="32"/>
          <w:lang w:eastAsia="zh-CN"/>
        </w:rPr>
      </w:pPr>
      <w:r>
        <w:rPr>
          <w:rFonts w:hint="eastAsia" w:ascii="仿宋_GB2312" w:hAnsi="宋体" w:eastAsia="仿宋_GB2312" w:cs="宋体"/>
          <w:b/>
          <w:bCs/>
          <w:color w:val="000000"/>
          <w:kern w:val="0"/>
          <w:sz w:val="32"/>
          <w:szCs w:val="32"/>
        </w:rPr>
        <w:t>二是</w:t>
      </w:r>
      <w:r>
        <w:rPr>
          <w:rFonts w:hint="eastAsia" w:ascii="仿宋_GB2312" w:hAnsi="宋体" w:eastAsia="仿宋_GB2312" w:cs="宋体"/>
          <w:b/>
          <w:bCs/>
          <w:color w:val="000000"/>
          <w:kern w:val="0"/>
          <w:sz w:val="32"/>
          <w:szCs w:val="32"/>
          <w:lang w:eastAsia="zh-CN"/>
        </w:rPr>
        <w:t>严控“三公”经费支出。</w:t>
      </w:r>
      <w:r>
        <w:rPr>
          <w:rFonts w:hint="eastAsia" w:ascii="仿宋_GB2312" w:hAnsi="宋体" w:eastAsia="仿宋_GB2312" w:cs="宋体"/>
          <w:color w:val="000000"/>
          <w:kern w:val="0"/>
          <w:sz w:val="32"/>
          <w:szCs w:val="32"/>
          <w:lang w:val="en-US" w:eastAsia="zh-CN"/>
        </w:rPr>
        <w:t>2021年未发生出国及接待费用，公</w:t>
      </w:r>
      <w:r>
        <w:rPr>
          <w:rFonts w:hint="eastAsia" w:ascii="仿宋_GB2312" w:hAnsi="仿宋" w:eastAsia="仿宋_GB2312" w:cs="仿宋"/>
          <w:color w:val="000000"/>
          <w:sz w:val="32"/>
          <w:szCs w:val="32"/>
        </w:rPr>
        <w:t>务用车运行维护费</w:t>
      </w:r>
      <w:r>
        <w:rPr>
          <w:rFonts w:hint="eastAsia" w:ascii="仿宋_GB2312" w:hAnsi="仿宋" w:eastAsia="仿宋_GB2312" w:cs="仿宋"/>
          <w:color w:val="000000"/>
          <w:sz w:val="32"/>
          <w:szCs w:val="32"/>
          <w:lang w:eastAsia="zh-CN"/>
        </w:rPr>
        <w:t>由</w:t>
      </w:r>
      <w:r>
        <w:rPr>
          <w:rFonts w:hint="eastAsia" w:ascii="仿宋_GB2312" w:hAnsi="仿宋" w:eastAsia="仿宋_GB2312" w:cs="仿宋"/>
          <w:color w:val="000000"/>
          <w:sz w:val="32"/>
          <w:szCs w:val="32"/>
          <w:highlight w:val="none"/>
          <w:lang w:val="en-US" w:eastAsia="zh-CN"/>
        </w:rPr>
        <w:t>2020年的1.93万元减</w:t>
      </w:r>
      <w:r>
        <w:rPr>
          <w:rFonts w:hint="eastAsia" w:ascii="仿宋_GB2312" w:hAnsi="仿宋" w:eastAsia="仿宋_GB2312" w:cs="仿宋"/>
          <w:color w:val="000000"/>
          <w:sz w:val="32"/>
          <w:szCs w:val="32"/>
          <w:lang w:val="en-US" w:eastAsia="zh-CN"/>
        </w:rPr>
        <w:t>少为2021年的</w:t>
      </w:r>
      <w:r>
        <w:rPr>
          <w:rFonts w:hint="eastAsia" w:ascii="仿宋_GB2312" w:hAnsi="仿宋" w:eastAsia="仿宋_GB2312" w:cs="仿宋"/>
          <w:color w:val="000000"/>
          <w:sz w:val="32"/>
          <w:szCs w:val="32"/>
        </w:rPr>
        <w:t>1.71万元</w:t>
      </w:r>
      <w:r>
        <w:rPr>
          <w:rFonts w:hint="eastAsia" w:ascii="仿宋_GB2312" w:hAnsi="仿宋" w:eastAsia="仿宋_GB2312" w:cs="仿宋"/>
          <w:color w:val="000000"/>
          <w:sz w:val="32"/>
          <w:szCs w:val="32"/>
          <w:lang w:eastAsia="zh-CN"/>
        </w:rPr>
        <w:t>。</w:t>
      </w:r>
    </w:p>
    <w:p>
      <w:pPr>
        <w:spacing w:line="560" w:lineRule="exact"/>
        <w:ind w:firstLine="642" w:firstLineChars="200"/>
        <w:rPr>
          <w:rFonts w:ascii="仿宋_GB2312" w:hAnsi="仿宋_GB2312" w:eastAsia="仿宋_GB2312" w:cs="仿宋_GB2312"/>
          <w:sz w:val="32"/>
          <w:szCs w:val="32"/>
        </w:rPr>
      </w:pPr>
      <w:r>
        <w:rPr>
          <w:rFonts w:hint="eastAsia" w:ascii="仿宋_GB2312" w:hAnsi="仿宋" w:eastAsia="仿宋_GB2312" w:cs="仿宋"/>
          <w:b/>
          <w:bCs/>
          <w:color w:val="000000"/>
          <w:sz w:val="32"/>
          <w:szCs w:val="32"/>
          <w:lang w:eastAsia="zh-CN"/>
        </w:rPr>
        <w:t>三是加强预算评审。</w:t>
      </w:r>
      <w:r>
        <w:rPr>
          <w:rFonts w:hint="eastAsia" w:ascii="仿宋_GB2312" w:hAnsi="宋体" w:eastAsia="仿宋_GB2312" w:cs="宋体"/>
          <w:color w:val="000000"/>
          <w:kern w:val="0"/>
          <w:sz w:val="32"/>
          <w:szCs w:val="32"/>
        </w:rPr>
        <w:t>通过加</w:t>
      </w:r>
      <w:r>
        <w:rPr>
          <w:rFonts w:hint="eastAsia" w:ascii="仿宋_GB2312" w:hAnsi="仿宋_GB2312" w:eastAsia="仿宋_GB2312" w:cs="仿宋_GB2312"/>
          <w:sz w:val="32"/>
          <w:szCs w:val="32"/>
        </w:rPr>
        <w:t>强部门内部对新增项目或有变化的项目开展预算评审的方式，严控项目成本，2021年度评审14个项目，审减资金38.58万元。</w:t>
      </w:r>
    </w:p>
    <w:p>
      <w:pPr>
        <w:snapToGrid w:val="0"/>
        <w:spacing w:line="520" w:lineRule="exact"/>
        <w:ind w:firstLine="640" w:firstLineChars="200"/>
        <w:outlineLvl w:val="1"/>
        <w:rPr>
          <w:rFonts w:ascii="楷体_GB2312" w:hAnsi="仿宋" w:eastAsia="楷体_GB2312"/>
          <w:sz w:val="32"/>
          <w:szCs w:val="32"/>
        </w:rPr>
      </w:pPr>
      <w:bookmarkStart w:id="7" w:name="_Toc103362019"/>
      <w:r>
        <w:rPr>
          <w:rFonts w:hint="eastAsia" w:ascii="楷体_GB2312" w:hAnsi="仿宋" w:eastAsia="楷体_GB2312"/>
          <w:sz w:val="32"/>
          <w:szCs w:val="32"/>
        </w:rPr>
        <w:t>（二）效果</w:t>
      </w:r>
      <w:r>
        <w:rPr>
          <w:rFonts w:ascii="楷体_GB2312" w:hAnsi="仿宋" w:eastAsia="楷体_GB2312"/>
          <w:sz w:val="32"/>
          <w:szCs w:val="32"/>
        </w:rPr>
        <w:t>实现情况分析</w:t>
      </w:r>
      <w:bookmarkEnd w:id="7"/>
    </w:p>
    <w:p>
      <w:pPr>
        <w:spacing w:line="560" w:lineRule="exact"/>
        <w:ind w:firstLine="642" w:firstLineChars="200"/>
        <w:outlineLvl w:val="2"/>
        <w:rPr>
          <w:rFonts w:ascii="仿宋_GB2312" w:hAnsi="仿宋" w:eastAsia="仿宋_GB2312"/>
          <w:b/>
          <w:bCs/>
          <w:sz w:val="32"/>
          <w:szCs w:val="32"/>
        </w:rPr>
      </w:pPr>
      <w:r>
        <w:rPr>
          <w:rFonts w:hint="eastAsia" w:ascii="仿宋_GB2312" w:hAnsi="宋体" w:eastAsia="仿宋_GB2312" w:cs="宋体"/>
          <w:b/>
          <w:bCs/>
          <w:color w:val="000000"/>
          <w:kern w:val="0"/>
          <w:sz w:val="32"/>
          <w:szCs w:val="32"/>
        </w:rPr>
        <w:t>1.</w:t>
      </w:r>
      <w:r>
        <w:rPr>
          <w:rFonts w:hint="eastAsia" w:ascii="仿宋_GB2312" w:hAnsi="仿宋" w:eastAsia="仿宋_GB2312"/>
          <w:b/>
          <w:bCs/>
          <w:sz w:val="32"/>
          <w:szCs w:val="32"/>
        </w:rPr>
        <w:t>更高水平当参谋</w:t>
      </w:r>
    </w:p>
    <w:p>
      <w:pPr>
        <w:spacing w:line="560" w:lineRule="exact"/>
        <w:ind w:firstLine="642" w:firstLineChars="200"/>
        <w:rPr>
          <w:rFonts w:ascii="仿宋_GB2312" w:hAnsi="宋体" w:eastAsia="仿宋_GB2312" w:cs="宋体"/>
          <w:color w:val="000000"/>
          <w:kern w:val="0"/>
          <w:sz w:val="32"/>
          <w:szCs w:val="32"/>
        </w:rPr>
      </w:pPr>
      <w:r>
        <w:rPr>
          <w:rFonts w:hint="eastAsia" w:ascii="仿宋_GB2312" w:hAnsi="仿宋" w:eastAsia="仿宋_GB2312"/>
          <w:b/>
          <w:bCs/>
          <w:sz w:val="32"/>
          <w:szCs w:val="32"/>
        </w:rPr>
        <w:t>一是</w:t>
      </w:r>
      <w:r>
        <w:rPr>
          <w:rFonts w:hint="eastAsia" w:ascii="仿宋_GB2312" w:hAnsi="仿宋" w:eastAsia="仿宋_GB2312"/>
          <w:sz w:val="32"/>
          <w:szCs w:val="32"/>
        </w:rPr>
        <w:t>通过及时准确报送信息，能够为市领导决策提供有力参考；坚持对信息全天候监测</w:t>
      </w:r>
      <w:r>
        <w:rPr>
          <w:rFonts w:hint="eastAsia" w:ascii="仿宋_GB2312" w:hAnsi="宋体" w:eastAsia="仿宋_GB2312" w:cs="宋体"/>
          <w:color w:val="000000"/>
          <w:kern w:val="0"/>
          <w:sz w:val="32"/>
          <w:szCs w:val="32"/>
        </w:rPr>
        <w:t>，有助于信息服务对科学决策能力的提升。</w:t>
      </w:r>
    </w:p>
    <w:p>
      <w:pPr>
        <w:spacing w:line="560" w:lineRule="exact"/>
        <w:ind w:firstLine="642" w:firstLineChars="200"/>
        <w:rPr>
          <w:rFonts w:ascii="仿宋_GB2312" w:hAnsi="宋体" w:eastAsia="仿宋_GB2312" w:cs="宋体"/>
          <w:color w:val="000000"/>
          <w:kern w:val="0"/>
          <w:sz w:val="32"/>
          <w:szCs w:val="32"/>
        </w:rPr>
      </w:pPr>
      <w:r>
        <w:rPr>
          <w:rFonts w:hint="eastAsia" w:ascii="仿宋_GB2312" w:hAnsi="仿宋" w:eastAsia="仿宋_GB2312" w:cs="Times New Roman"/>
          <w:b/>
          <w:bCs/>
          <w:color w:val="000000"/>
          <w:kern w:val="2"/>
          <w:sz w:val="32"/>
          <w:szCs w:val="32"/>
        </w:rPr>
        <w:t>二是</w:t>
      </w:r>
      <w:r>
        <w:rPr>
          <w:rFonts w:hint="eastAsia" w:ascii="仿宋_GB2312" w:hAnsi="宋体" w:eastAsia="仿宋_GB2312" w:cs="宋体"/>
          <w:color w:val="000000"/>
          <w:kern w:val="0"/>
          <w:sz w:val="32"/>
          <w:szCs w:val="32"/>
        </w:rPr>
        <w:t>对领导批示进行梳理，做好直接服务市领导同志的第一参谋助手，能够为推动相关工作的落实献计出力。</w:t>
      </w:r>
    </w:p>
    <w:p>
      <w:pPr>
        <w:spacing w:line="560" w:lineRule="exact"/>
        <w:ind w:firstLine="642" w:firstLineChars="200"/>
        <w:rPr>
          <w:rFonts w:ascii="仿宋_GB2312" w:hAnsi="仿宋" w:eastAsia="仿宋_GB2312"/>
          <w:sz w:val="32"/>
          <w:szCs w:val="32"/>
        </w:rPr>
      </w:pPr>
      <w:r>
        <w:rPr>
          <w:rFonts w:hint="eastAsia" w:ascii="仿宋_GB2312" w:hAnsi="仿宋" w:eastAsia="仿宋_GB2312" w:cs="Times New Roman"/>
          <w:b/>
          <w:bCs/>
          <w:color w:val="000000"/>
          <w:kern w:val="2"/>
          <w:sz w:val="32"/>
          <w:szCs w:val="32"/>
        </w:rPr>
        <w:t>三是</w:t>
      </w:r>
      <w:r>
        <w:rPr>
          <w:rFonts w:hint="eastAsia" w:ascii="仿宋_GB2312" w:hAnsi="宋体" w:eastAsia="仿宋_GB2312" w:cs="宋体"/>
          <w:color w:val="000000"/>
          <w:kern w:val="0"/>
          <w:sz w:val="32"/>
          <w:szCs w:val="32"/>
        </w:rPr>
        <w:t>加强国办信息报送，创新推出图解类</w:t>
      </w:r>
      <w:bookmarkStart w:id="17" w:name="_GoBack"/>
      <w:bookmarkEnd w:id="17"/>
      <w:r>
        <w:rPr>
          <w:rFonts w:hint="eastAsia" w:ascii="仿宋_GB2312" w:hAnsi="宋体" w:eastAsia="仿宋_GB2312" w:cs="宋体"/>
          <w:color w:val="000000"/>
          <w:kern w:val="0"/>
          <w:sz w:val="32"/>
          <w:szCs w:val="32"/>
        </w:rPr>
        <w:t>专报，通过图文并茂的形式对政策性文件进行阐释，便于客观准确反映北京市工作特色亮点、经验做法，北京市在各省市区信息采用排名保持前十</w:t>
      </w:r>
      <w:r>
        <w:rPr>
          <w:rFonts w:hint="eastAsia" w:ascii="仿宋_GB2312" w:hAnsi="仿宋" w:eastAsia="仿宋_GB2312"/>
          <w:sz w:val="32"/>
          <w:szCs w:val="32"/>
        </w:rPr>
        <w:t>。</w:t>
      </w:r>
    </w:p>
    <w:p>
      <w:pPr>
        <w:spacing w:line="560" w:lineRule="exact"/>
        <w:ind w:firstLine="642" w:firstLineChars="200"/>
        <w:outlineLvl w:val="9"/>
        <w:rPr>
          <w:rFonts w:hint="eastAsia" w:ascii="仿宋_GB2312" w:hAnsi="仿宋" w:eastAsia="仿宋_GB2312" w:cs="Times New Roman"/>
          <w:b/>
          <w:bCs/>
          <w:color w:val="000000"/>
          <w:kern w:val="2"/>
          <w:sz w:val="32"/>
          <w:szCs w:val="32"/>
        </w:rPr>
      </w:pPr>
      <w:r>
        <w:rPr>
          <w:rFonts w:hint="eastAsia" w:ascii="仿宋_GB2312" w:hAnsi="仿宋" w:eastAsia="仿宋_GB2312" w:cs="Times New Roman"/>
          <w:b/>
          <w:bCs/>
          <w:color w:val="000000"/>
          <w:kern w:val="2"/>
          <w:sz w:val="32"/>
          <w:szCs w:val="32"/>
        </w:rPr>
        <w:t>2.更高效率保运转</w:t>
      </w:r>
    </w:p>
    <w:p>
      <w:pPr>
        <w:spacing w:line="560" w:lineRule="exact"/>
        <w:ind w:firstLine="642" w:firstLineChars="200"/>
        <w:rPr>
          <w:rFonts w:ascii="仿宋_GB2312" w:hAnsi="仿宋" w:eastAsia="仿宋_GB2312"/>
          <w:sz w:val="32"/>
          <w:szCs w:val="32"/>
        </w:rPr>
      </w:pPr>
      <w:r>
        <w:rPr>
          <w:rFonts w:hint="eastAsia" w:ascii="仿宋_GB2312" w:hAnsi="仿宋" w:eastAsia="仿宋_GB2312" w:cs="Times New Roman"/>
          <w:b/>
          <w:bCs/>
          <w:color w:val="000000"/>
          <w:kern w:val="2"/>
          <w:sz w:val="32"/>
          <w:szCs w:val="32"/>
        </w:rPr>
        <w:t>一是</w:t>
      </w:r>
      <w:r>
        <w:rPr>
          <w:rFonts w:hint="eastAsia" w:ascii="仿宋_GB2312" w:hAnsi="宋体" w:eastAsia="仿宋_GB2312" w:cs="宋体"/>
          <w:color w:val="000000"/>
          <w:kern w:val="0"/>
          <w:sz w:val="32"/>
          <w:szCs w:val="32"/>
        </w:rPr>
        <w:t>通过利用“四不两直”“蹲点”等多种调研方式，深入基层一线，“以点带面”</w:t>
      </w:r>
      <w:r>
        <w:rPr>
          <w:rFonts w:hint="eastAsia" w:ascii="仿宋_GB2312" w:eastAsia="仿宋_GB2312"/>
          <w:sz w:val="32"/>
          <w:szCs w:val="32"/>
        </w:rPr>
        <w:t>开展工作</w:t>
      </w:r>
      <w:r>
        <w:rPr>
          <w:rFonts w:hint="eastAsia" w:ascii="仿宋_GB2312" w:hAnsi="宋体" w:eastAsia="仿宋_GB2312" w:cs="宋体"/>
          <w:color w:val="000000"/>
          <w:kern w:val="0"/>
          <w:sz w:val="32"/>
          <w:szCs w:val="32"/>
        </w:rPr>
        <w:t>，掌握基层真实情况，有效推进问题的解决和落实</w:t>
      </w:r>
      <w:r>
        <w:rPr>
          <w:rFonts w:hint="eastAsia" w:ascii="仿宋_GB2312" w:hAnsi="仿宋" w:eastAsia="仿宋_GB2312"/>
          <w:sz w:val="32"/>
          <w:szCs w:val="32"/>
        </w:rPr>
        <w:t>。</w:t>
      </w:r>
    </w:p>
    <w:p>
      <w:pPr>
        <w:spacing w:line="560" w:lineRule="exact"/>
        <w:ind w:firstLine="642" w:firstLineChars="200"/>
        <w:rPr>
          <w:rFonts w:ascii="仿宋_GB2312" w:hAnsi="仿宋" w:eastAsia="仿宋_GB2312"/>
          <w:sz w:val="32"/>
          <w:szCs w:val="32"/>
        </w:rPr>
      </w:pPr>
      <w:r>
        <w:rPr>
          <w:rFonts w:hint="eastAsia" w:ascii="仿宋_GB2312" w:hAnsi="仿宋" w:eastAsia="仿宋_GB2312" w:cs="Times New Roman"/>
          <w:b/>
          <w:bCs/>
          <w:color w:val="000000"/>
          <w:kern w:val="2"/>
          <w:sz w:val="32"/>
          <w:szCs w:val="32"/>
        </w:rPr>
        <w:t>二是</w:t>
      </w:r>
      <w:r>
        <w:rPr>
          <w:rFonts w:hint="eastAsia" w:ascii="仿宋_GB2312" w:hAnsi="宋体" w:eastAsia="仿宋_GB2312" w:cs="宋体"/>
          <w:color w:val="000000"/>
          <w:kern w:val="0"/>
          <w:sz w:val="32"/>
          <w:szCs w:val="32"/>
        </w:rPr>
        <w:t>通过制定值班专业化规范</w:t>
      </w:r>
      <w:r>
        <w:rPr>
          <w:rFonts w:hint="eastAsia" w:ascii="仿宋_GB2312" w:hAnsi="仿宋" w:eastAsia="仿宋_GB2312"/>
          <w:sz w:val="32"/>
          <w:szCs w:val="32"/>
        </w:rPr>
        <w:t>建设，建立联合调度机制，加强重大突发事件协调调度，确保全市政府系统值班工作高标准开展。</w:t>
      </w:r>
    </w:p>
    <w:p>
      <w:pPr>
        <w:spacing w:line="560" w:lineRule="exact"/>
        <w:ind w:firstLine="642" w:firstLineChars="200"/>
        <w:rPr>
          <w:rFonts w:ascii="仿宋_GB2312" w:hAnsi="仿宋" w:eastAsia="仿宋_GB2312"/>
          <w:sz w:val="32"/>
          <w:szCs w:val="32"/>
        </w:rPr>
      </w:pPr>
      <w:r>
        <w:rPr>
          <w:rFonts w:hint="eastAsia" w:ascii="仿宋_GB2312" w:hAnsi="仿宋" w:eastAsia="仿宋_GB2312"/>
          <w:b/>
          <w:bCs/>
          <w:sz w:val="32"/>
          <w:szCs w:val="32"/>
        </w:rPr>
        <w:t>三是</w:t>
      </w:r>
      <w:r>
        <w:rPr>
          <w:rFonts w:hint="eastAsia" w:ascii="仿宋_GB2312" w:hAnsi="仿宋" w:eastAsia="仿宋_GB2312"/>
          <w:sz w:val="32"/>
          <w:szCs w:val="32"/>
        </w:rPr>
        <w:t>联络工作有序推进，包括统筹推进议案建议提案办理、扎实做好会议活动联络服务、协调保障政府广泛参与政协协商，主动接受人大监督等，圆满完成全国及市“两会”联络服务任务。机关政务服务管理效率得到不断提升。</w:t>
      </w:r>
    </w:p>
    <w:p>
      <w:pPr>
        <w:spacing w:line="560" w:lineRule="exact"/>
        <w:ind w:firstLine="642" w:firstLineChars="200"/>
        <w:outlineLvl w:val="9"/>
        <w:rPr>
          <w:rFonts w:hint="eastAsia" w:ascii="仿宋_GB2312" w:hAnsi="仿宋" w:eastAsia="仿宋_GB2312"/>
          <w:b/>
          <w:bCs/>
          <w:sz w:val="32"/>
          <w:szCs w:val="32"/>
        </w:rPr>
      </w:pPr>
      <w:r>
        <w:rPr>
          <w:rFonts w:hint="eastAsia" w:ascii="仿宋_GB2312" w:hAnsi="仿宋" w:eastAsia="仿宋_GB2312"/>
          <w:b/>
          <w:bCs/>
          <w:sz w:val="32"/>
          <w:szCs w:val="32"/>
        </w:rPr>
        <w:t>3.更高质量抓落实</w:t>
      </w:r>
    </w:p>
    <w:p>
      <w:pPr>
        <w:spacing w:line="560" w:lineRule="exact"/>
        <w:ind w:firstLine="642" w:firstLineChars="200"/>
        <w:rPr>
          <w:rFonts w:ascii="仿宋_GB2312" w:hAnsi="仿宋" w:eastAsia="仿宋_GB2312"/>
          <w:sz w:val="32"/>
          <w:szCs w:val="32"/>
        </w:rPr>
      </w:pPr>
      <w:r>
        <w:rPr>
          <w:rFonts w:hint="eastAsia" w:ascii="仿宋_GB2312" w:hAnsi="仿宋" w:eastAsia="仿宋_GB2312"/>
          <w:b/>
          <w:bCs/>
          <w:sz w:val="32"/>
          <w:szCs w:val="32"/>
        </w:rPr>
        <w:t>一是</w:t>
      </w:r>
      <w:r>
        <w:rPr>
          <w:rFonts w:hint="eastAsia" w:ascii="仿宋_GB2312" w:hAnsi="仿宋" w:eastAsia="仿宋_GB2312"/>
          <w:sz w:val="32"/>
          <w:szCs w:val="32"/>
        </w:rPr>
        <w:t>决策督查方面，全面落实综合、联合、专项督察工作，针对发现的问题现场督促整改；围绕</w:t>
      </w:r>
      <w:r>
        <w:rPr>
          <w:rFonts w:hint="eastAsia" w:ascii="仿宋_GB2312" w:eastAsia="仿宋_GB2312"/>
          <w:sz w:val="32"/>
          <w:szCs w:val="32"/>
        </w:rPr>
        <w:t>政府工</w:t>
      </w:r>
      <w:r>
        <w:rPr>
          <w:rFonts w:hint="eastAsia" w:ascii="仿宋_GB2312" w:hAnsi="仿宋" w:eastAsia="仿宋_GB2312"/>
          <w:sz w:val="32"/>
          <w:szCs w:val="32"/>
        </w:rPr>
        <w:t>作报告重点、重要民生实事以及市级重点程等重大专项任务，依托信息平台开展全面动态督查，并根据任务类型对刚性量化任务实行分类与联合督查，进一步细化分解任务，编制形成年度重点任务清单及重点项目的督查台账，不断规范与完善督查工作流程，有助于更好地开展督查考核工作。</w:t>
      </w:r>
    </w:p>
    <w:p>
      <w:pPr>
        <w:spacing w:line="560" w:lineRule="exact"/>
        <w:ind w:firstLine="642" w:firstLineChars="200"/>
        <w:rPr>
          <w:rFonts w:ascii="仿宋_GB2312" w:hAnsi="仿宋" w:eastAsia="仿宋_GB2312"/>
          <w:sz w:val="32"/>
          <w:szCs w:val="32"/>
        </w:rPr>
      </w:pPr>
      <w:r>
        <w:rPr>
          <w:rFonts w:hint="eastAsia" w:ascii="仿宋_GB2312" w:hAnsi="仿宋" w:eastAsia="仿宋_GB2312"/>
          <w:b/>
          <w:bCs/>
          <w:sz w:val="32"/>
          <w:szCs w:val="32"/>
        </w:rPr>
        <w:t>二是</w:t>
      </w:r>
      <w:r>
        <w:rPr>
          <w:rFonts w:hint="eastAsia" w:ascii="仿宋_GB2312" w:hAnsi="仿宋" w:eastAsia="仿宋_GB2312"/>
          <w:sz w:val="32"/>
          <w:szCs w:val="32"/>
        </w:rPr>
        <w:t>专项督查方面，推动市领导有关要求落实到位，采取暗访督查和线索核查等方式，完善专项督查工作，探索运用“互联网+督查”，提高督查效率和质量，不断推进督查问题落实解决，推动市政府决策部署落地见效，促使高质量发展与保障民生齐头并进、补齐短板与优化政策双向发力。</w:t>
      </w:r>
    </w:p>
    <w:p>
      <w:pPr>
        <w:spacing w:line="560" w:lineRule="exact"/>
        <w:ind w:firstLine="642" w:firstLineChars="200"/>
        <w:outlineLvl w:val="9"/>
        <w:rPr>
          <w:rFonts w:hint="eastAsia" w:ascii="仿宋_GB2312" w:hAnsi="仿宋" w:eastAsia="仿宋_GB2312" w:cs="Times New Roman"/>
          <w:b/>
          <w:bCs/>
          <w:color w:val="000000"/>
          <w:kern w:val="2"/>
          <w:sz w:val="32"/>
          <w:szCs w:val="32"/>
        </w:rPr>
      </w:pPr>
      <w:r>
        <w:rPr>
          <w:rFonts w:hint="eastAsia" w:ascii="仿宋_GB2312" w:hAnsi="仿宋" w:eastAsia="仿宋_GB2312" w:cs="Times New Roman"/>
          <w:b/>
          <w:bCs/>
          <w:color w:val="000000"/>
          <w:kern w:val="2"/>
          <w:sz w:val="32"/>
          <w:szCs w:val="32"/>
        </w:rPr>
        <w:t>4.机构服务保障能力提高</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坚持“精精益求精、万万无一失”标准，牵头负责庆祝活动领导小组调度运行中心工作，为建党百年北京市庆祝活动提供保障服务，搭建指挥调度平台，科学统筹调度，周密组织广场秩序管理、集结疏散、场地撤收等工作，圆满完成演练和庆祝大会保障任务。机关政务服务水平得到进一步提高。</w:t>
      </w:r>
    </w:p>
    <w:p>
      <w:pPr>
        <w:spacing w:line="560" w:lineRule="exact"/>
        <w:ind w:firstLine="642" w:firstLineChars="200"/>
        <w:outlineLvl w:val="9"/>
        <w:rPr>
          <w:rFonts w:hint="eastAsia" w:ascii="仿宋_GB2312" w:hAnsi="仿宋" w:eastAsia="仿宋_GB2312"/>
          <w:b/>
          <w:bCs/>
          <w:sz w:val="32"/>
          <w:szCs w:val="32"/>
        </w:rPr>
      </w:pPr>
      <w:r>
        <w:rPr>
          <w:rFonts w:hint="eastAsia" w:ascii="仿宋_GB2312" w:hAnsi="仿宋" w:eastAsia="仿宋_GB2312"/>
          <w:b/>
          <w:bCs/>
          <w:sz w:val="32"/>
          <w:szCs w:val="32"/>
        </w:rPr>
        <w:t>5.进一步强化自身建设</w:t>
      </w:r>
    </w:p>
    <w:p>
      <w:pPr>
        <w:spacing w:line="560" w:lineRule="exact"/>
        <w:ind w:firstLine="642" w:firstLineChars="200"/>
        <w:rPr>
          <w:rFonts w:ascii="仿宋_GB2312" w:hAnsi="仿宋" w:eastAsia="仿宋_GB2312"/>
          <w:sz w:val="32"/>
          <w:szCs w:val="32"/>
        </w:rPr>
      </w:pPr>
      <w:r>
        <w:rPr>
          <w:rFonts w:hint="eastAsia" w:ascii="仿宋_GB2312" w:hAnsi="仿宋" w:eastAsia="仿宋_GB2312"/>
          <w:b/>
          <w:bCs/>
          <w:sz w:val="32"/>
          <w:szCs w:val="32"/>
        </w:rPr>
        <w:t>一是</w:t>
      </w:r>
      <w:r>
        <w:rPr>
          <w:rFonts w:hint="eastAsia" w:ascii="仿宋_GB2312" w:hAnsi="仿宋" w:eastAsia="仿宋_GB2312"/>
          <w:sz w:val="32"/>
          <w:szCs w:val="32"/>
        </w:rPr>
        <w:t>通过加强支部建设、深化党员教育管理</w:t>
      </w:r>
      <w:r>
        <w:rPr>
          <w:rFonts w:hint="eastAsia" w:ascii="仿宋_GB2312" w:eastAsia="仿宋_GB2312"/>
          <w:sz w:val="32"/>
          <w:szCs w:val="32"/>
        </w:rPr>
        <w:t>监督</w:t>
      </w:r>
      <w:r>
        <w:rPr>
          <w:rFonts w:hint="eastAsia" w:ascii="仿宋_GB2312" w:hAnsi="仿宋" w:eastAsia="仿宋_GB2312"/>
          <w:sz w:val="32"/>
          <w:szCs w:val="32"/>
        </w:rPr>
        <w:t>、加强机关党委自身建设等工作贯彻落实基层组织工作条例。</w:t>
      </w:r>
    </w:p>
    <w:p>
      <w:pPr>
        <w:spacing w:line="560" w:lineRule="exact"/>
        <w:ind w:firstLine="642" w:firstLineChars="200"/>
        <w:rPr>
          <w:rFonts w:ascii="仿宋_GB2312" w:hAnsi="仿宋" w:eastAsia="仿宋_GB2312"/>
          <w:sz w:val="32"/>
          <w:szCs w:val="32"/>
        </w:rPr>
      </w:pPr>
      <w:r>
        <w:rPr>
          <w:rFonts w:hint="eastAsia" w:ascii="仿宋_GB2312" w:hAnsi="仿宋" w:eastAsia="仿宋_GB2312"/>
          <w:b/>
          <w:bCs/>
          <w:sz w:val="32"/>
          <w:szCs w:val="32"/>
        </w:rPr>
        <w:t>二是</w:t>
      </w:r>
      <w:r>
        <w:rPr>
          <w:rFonts w:hint="eastAsia" w:ascii="仿宋_GB2312" w:hAnsi="仿宋" w:eastAsia="仿宋_GB2312"/>
          <w:sz w:val="32"/>
          <w:szCs w:val="32"/>
        </w:rPr>
        <w:t>进一步提高政治站位，协助完成市政府办公厅党组党员管理、监管监督工作，加强市政府办公厅作风纪律建设，做好精准慎重问责工作，完善机关纪委自身建设。</w:t>
      </w:r>
    </w:p>
    <w:p>
      <w:pPr>
        <w:spacing w:line="560" w:lineRule="exact"/>
        <w:ind w:firstLine="642" w:firstLineChars="200"/>
        <w:rPr>
          <w:rFonts w:ascii="仿宋_GB2312" w:hAnsi="宋体" w:eastAsia="仿宋_GB2312" w:cs="宋体"/>
          <w:color w:val="000000"/>
          <w:kern w:val="0"/>
          <w:sz w:val="32"/>
          <w:szCs w:val="32"/>
        </w:rPr>
      </w:pPr>
      <w:r>
        <w:rPr>
          <w:rFonts w:hint="eastAsia" w:ascii="仿宋_GB2312" w:hAnsi="仿宋" w:eastAsia="仿宋_GB2312"/>
          <w:b/>
          <w:bCs/>
          <w:sz w:val="32"/>
          <w:szCs w:val="32"/>
        </w:rPr>
        <w:t>三是</w:t>
      </w:r>
      <w:r>
        <w:rPr>
          <w:rFonts w:hint="eastAsia" w:ascii="仿宋_GB2312" w:hAnsi="仿宋" w:eastAsia="仿宋_GB2312"/>
          <w:sz w:val="32"/>
          <w:szCs w:val="32"/>
        </w:rPr>
        <w:t>通过集中学习、辅导报告、实地践学等形式开展学习，让党员干部在学习党史、为民服务中受到了教育洗礼。</w:t>
      </w:r>
    </w:p>
    <w:p>
      <w:pPr>
        <w:snapToGrid w:val="0"/>
        <w:spacing w:line="520" w:lineRule="exact"/>
        <w:ind w:firstLine="640" w:firstLineChars="200"/>
        <w:outlineLvl w:val="0"/>
        <w:rPr>
          <w:rFonts w:ascii="黑体" w:hAnsi="黑体" w:eastAsia="黑体"/>
          <w:sz w:val="32"/>
          <w:szCs w:val="32"/>
        </w:rPr>
      </w:pPr>
      <w:bookmarkStart w:id="8" w:name="_Toc103362020"/>
      <w:r>
        <w:rPr>
          <w:rFonts w:hint="eastAsia" w:ascii="黑体" w:hAnsi="黑体" w:eastAsia="黑体"/>
          <w:sz w:val="32"/>
          <w:szCs w:val="32"/>
        </w:rPr>
        <w:t>四</w:t>
      </w:r>
      <w:r>
        <w:rPr>
          <w:rFonts w:ascii="黑体" w:hAnsi="黑体" w:eastAsia="黑体"/>
          <w:sz w:val="32"/>
          <w:szCs w:val="32"/>
        </w:rPr>
        <w:t>、预算管理</w:t>
      </w:r>
      <w:r>
        <w:rPr>
          <w:rFonts w:hint="eastAsia" w:ascii="黑体" w:hAnsi="黑体" w:eastAsia="黑体"/>
          <w:sz w:val="32"/>
          <w:szCs w:val="32"/>
        </w:rPr>
        <w:t>情况分</w:t>
      </w:r>
      <w:r>
        <w:rPr>
          <w:rFonts w:ascii="黑体" w:hAnsi="黑体" w:eastAsia="黑体"/>
          <w:sz w:val="32"/>
          <w:szCs w:val="32"/>
        </w:rPr>
        <w:t>析</w:t>
      </w:r>
      <w:bookmarkEnd w:id="8"/>
    </w:p>
    <w:p>
      <w:pPr>
        <w:snapToGrid w:val="0"/>
        <w:spacing w:line="520" w:lineRule="exact"/>
        <w:ind w:firstLine="640" w:firstLineChars="200"/>
        <w:outlineLvl w:val="1"/>
        <w:rPr>
          <w:rFonts w:ascii="楷体_GB2312" w:hAnsi="仿宋" w:eastAsia="楷体_GB2312"/>
          <w:sz w:val="32"/>
          <w:szCs w:val="32"/>
        </w:rPr>
      </w:pPr>
      <w:bookmarkStart w:id="9" w:name="_Toc103362021"/>
      <w:r>
        <w:rPr>
          <w:rFonts w:hint="eastAsia" w:ascii="楷体_GB2312" w:hAnsi="仿宋" w:eastAsia="楷体_GB2312"/>
          <w:sz w:val="32"/>
          <w:szCs w:val="32"/>
        </w:rPr>
        <w:t>（一）财务管理</w:t>
      </w:r>
      <w:bookmarkEnd w:id="9"/>
    </w:p>
    <w:p>
      <w:pPr>
        <w:spacing w:line="560" w:lineRule="exact"/>
        <w:ind w:firstLine="642" w:firstLineChars="200"/>
        <w:rPr>
          <w:rFonts w:hint="eastAsia" w:ascii="仿宋_GB2312" w:hAnsi="仿宋" w:eastAsia="仿宋_GB2312" w:cs="Times New Roman"/>
          <w:b/>
          <w:bCs/>
          <w:color w:val="000000"/>
          <w:kern w:val="2"/>
          <w:sz w:val="32"/>
          <w:szCs w:val="32"/>
        </w:rPr>
      </w:pPr>
      <w:r>
        <w:rPr>
          <w:rFonts w:hint="eastAsia" w:ascii="仿宋_GB2312" w:hAnsi="仿宋" w:eastAsia="仿宋_GB2312" w:cs="Times New Roman"/>
          <w:b/>
          <w:bCs/>
          <w:color w:val="000000"/>
          <w:kern w:val="2"/>
          <w:sz w:val="32"/>
          <w:szCs w:val="32"/>
        </w:rPr>
        <w:t>1.财务管理制度健全性</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eastAsia="仿宋_GB2312" w:cs="仿宋_GB2312"/>
          <w:snapToGrid w:val="0"/>
          <w:kern w:val="0"/>
          <w:sz w:val="32"/>
          <w:szCs w:val="32"/>
        </w:rPr>
        <w:t>为加强办公厅财务管理，进一步防范内控风险，结合办公厅实际，</w:t>
      </w:r>
      <w:r>
        <w:rPr>
          <w:rFonts w:hint="eastAsia" w:ascii="仿宋_GB2312" w:hAnsi="宋体" w:eastAsia="仿宋_GB2312" w:cs="宋体"/>
          <w:color w:val="000000"/>
          <w:kern w:val="0"/>
          <w:sz w:val="32"/>
          <w:szCs w:val="32"/>
          <w:lang w:val="en-US" w:eastAsia="zh-CN"/>
        </w:rPr>
        <w:t>办公厅近年来陆续</w:t>
      </w:r>
      <w:r>
        <w:rPr>
          <w:rFonts w:hint="eastAsia" w:ascii="仿宋_GB2312" w:hAnsi="宋体" w:eastAsia="仿宋_GB2312" w:cs="宋体"/>
          <w:color w:val="000000"/>
          <w:kern w:val="0"/>
          <w:sz w:val="32"/>
          <w:szCs w:val="32"/>
        </w:rPr>
        <w:t>制定了</w:t>
      </w:r>
      <w:r>
        <w:rPr>
          <w:rFonts w:hint="eastAsia" w:ascii="仿宋_GB2312" w:eastAsia="仿宋_GB2312"/>
          <w:sz w:val="32"/>
          <w:szCs w:val="32"/>
        </w:rPr>
        <w:t>《机关财务监管小组工作办法》</w:t>
      </w:r>
      <w:r>
        <w:rPr>
          <w:rFonts w:hint="eastAsia" w:ascii="仿宋_GB2312" w:hAnsi="宋体" w:eastAsia="仿宋_GB2312" w:cs="宋体"/>
          <w:color w:val="000000"/>
          <w:kern w:val="0"/>
          <w:sz w:val="32"/>
          <w:szCs w:val="32"/>
        </w:rPr>
        <w:t>《预算管理办法》《预算绩效管理实施细则》《采购管理办法》《合同管理办法》</w:t>
      </w:r>
      <w:r>
        <w:rPr>
          <w:rFonts w:hint="eastAsia" w:ascii="仿宋_GB2312" w:hAnsi="宋体" w:eastAsia="仿宋_GB2312" w:cs="宋体"/>
          <w:color w:val="000000"/>
          <w:kern w:val="0"/>
          <w:sz w:val="32"/>
          <w:szCs w:val="32"/>
          <w:lang w:eastAsia="zh-CN"/>
        </w:rPr>
        <w:t>等</w:t>
      </w:r>
      <w:r>
        <w:rPr>
          <w:rFonts w:hint="eastAsia" w:ascii="仿宋_GB2312" w:hAnsi="宋体" w:eastAsia="仿宋_GB2312" w:cs="宋体"/>
          <w:color w:val="000000"/>
          <w:kern w:val="0"/>
          <w:sz w:val="32"/>
          <w:szCs w:val="32"/>
          <w:lang w:val="en-US" w:eastAsia="zh-CN"/>
        </w:rPr>
        <w:t>20项</w:t>
      </w:r>
      <w:r>
        <w:rPr>
          <w:rFonts w:hint="eastAsia" w:ascii="仿宋_GB2312" w:hAnsi="宋体" w:eastAsia="仿宋_GB2312" w:cs="宋体"/>
          <w:color w:val="000000"/>
          <w:kern w:val="0"/>
          <w:sz w:val="32"/>
          <w:szCs w:val="32"/>
        </w:rPr>
        <w:t>制度，形成了《内部控制管理手册》，</w:t>
      </w:r>
      <w:r>
        <w:rPr>
          <w:rFonts w:hint="eastAsia" w:ascii="仿宋_GB2312" w:hAnsi="宋体" w:eastAsia="仿宋_GB2312" w:cs="宋体"/>
          <w:color w:val="000000"/>
          <w:kern w:val="0"/>
          <w:sz w:val="32"/>
          <w:szCs w:val="32"/>
          <w:lang w:eastAsia="zh-CN"/>
        </w:rPr>
        <w:t>规范了</w:t>
      </w:r>
      <w:r>
        <w:rPr>
          <w:rFonts w:hint="eastAsia" w:ascii="仿宋_GB2312" w:hAnsi="宋体" w:eastAsia="仿宋_GB2312" w:cs="宋体"/>
          <w:color w:val="000000"/>
          <w:kern w:val="0"/>
          <w:sz w:val="32"/>
          <w:szCs w:val="32"/>
        </w:rPr>
        <w:t>部门预算管理、采购管理、合同管理、固定资产管理、会计管理及财务监管机制等</w:t>
      </w:r>
      <w:r>
        <w:rPr>
          <w:rFonts w:hint="eastAsia" w:ascii="仿宋_GB2312" w:hAnsi="宋体" w:eastAsia="仿宋_GB2312" w:cs="宋体"/>
          <w:color w:val="000000"/>
          <w:kern w:val="0"/>
          <w:sz w:val="32"/>
          <w:szCs w:val="32"/>
          <w:lang w:eastAsia="zh-CN"/>
        </w:rPr>
        <w:t>内容</w:t>
      </w:r>
      <w:r>
        <w:rPr>
          <w:rFonts w:hint="eastAsia" w:ascii="仿宋_GB2312" w:hAnsi="宋体" w:eastAsia="仿宋_GB2312" w:cs="宋体"/>
          <w:color w:val="000000"/>
          <w:kern w:val="0"/>
          <w:sz w:val="32"/>
          <w:szCs w:val="32"/>
        </w:rPr>
        <w:t>。但个别制度</w:t>
      </w:r>
      <w:r>
        <w:rPr>
          <w:rFonts w:hint="eastAsia" w:ascii="仿宋_GB2312" w:hAnsi="宋体" w:eastAsia="仿宋_GB2312" w:cs="宋体"/>
          <w:color w:val="000000"/>
          <w:kern w:val="0"/>
          <w:sz w:val="32"/>
          <w:szCs w:val="32"/>
          <w:lang w:eastAsia="zh-CN"/>
        </w:rPr>
        <w:t>仍有待进一步修订</w:t>
      </w:r>
      <w:r>
        <w:rPr>
          <w:rFonts w:hint="eastAsia" w:ascii="仿宋_GB2312" w:hAnsi="宋体" w:eastAsia="仿宋_GB2312" w:cs="宋体"/>
          <w:color w:val="000000"/>
          <w:kern w:val="0"/>
          <w:sz w:val="32"/>
          <w:szCs w:val="32"/>
        </w:rPr>
        <w:t>，如《合同管理办法》第一条依据的《中华人民共和国合同法》已于2021年1月1日废止，</w:t>
      </w:r>
      <w:r>
        <w:rPr>
          <w:rFonts w:hint="eastAsia" w:ascii="仿宋_GB2312" w:hAnsi="宋体" w:eastAsia="仿宋_GB2312" w:cs="宋体"/>
          <w:color w:val="000000"/>
          <w:kern w:val="0"/>
          <w:sz w:val="32"/>
          <w:szCs w:val="32"/>
          <w:lang w:eastAsia="zh-CN"/>
        </w:rPr>
        <w:t>计划</w:t>
      </w:r>
      <w:r>
        <w:rPr>
          <w:rFonts w:hint="eastAsia" w:ascii="仿宋_GB2312" w:hAnsi="宋体" w:eastAsia="仿宋_GB2312" w:cs="宋体"/>
          <w:color w:val="000000"/>
          <w:kern w:val="0"/>
          <w:sz w:val="32"/>
          <w:szCs w:val="32"/>
        </w:rPr>
        <w:t>依据《民法典》修订该制度。</w:t>
      </w:r>
    </w:p>
    <w:p>
      <w:pPr>
        <w:spacing w:line="560" w:lineRule="exact"/>
        <w:ind w:firstLine="642" w:firstLineChars="200"/>
        <w:rPr>
          <w:rFonts w:hint="eastAsia" w:ascii="仿宋_GB2312" w:hAnsi="仿宋" w:eastAsia="仿宋_GB2312" w:cs="Times New Roman"/>
          <w:b/>
          <w:bCs/>
          <w:color w:val="000000"/>
          <w:kern w:val="2"/>
          <w:sz w:val="32"/>
          <w:szCs w:val="32"/>
        </w:rPr>
      </w:pPr>
      <w:r>
        <w:rPr>
          <w:rFonts w:hint="eastAsia" w:ascii="仿宋_GB2312" w:hAnsi="仿宋" w:eastAsia="仿宋_GB2312" w:cs="Times New Roman"/>
          <w:b/>
          <w:bCs/>
          <w:color w:val="000000"/>
          <w:kern w:val="2"/>
          <w:sz w:val="32"/>
          <w:szCs w:val="32"/>
        </w:rPr>
        <w:t>2.资金使用合规性和安全性</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资金使用严格按照北京市及办公厅各项规定制度执行</w:t>
      </w:r>
      <w:r>
        <w:rPr>
          <w:rFonts w:hint="eastAsia" w:ascii="仿宋_GB2312" w:hAnsi="宋体" w:eastAsia="仿宋_GB2312" w:cs="宋体"/>
          <w:color w:val="000000"/>
          <w:kern w:val="0"/>
          <w:sz w:val="32"/>
          <w:szCs w:val="32"/>
        </w:rPr>
        <w:t>。资金拨付有完整的审批</w:t>
      </w:r>
      <w:r>
        <w:rPr>
          <w:rFonts w:hint="eastAsia" w:ascii="仿宋_GB2312" w:hAnsi="宋体" w:eastAsia="仿宋_GB2312" w:cs="宋体"/>
          <w:color w:val="000000"/>
          <w:kern w:val="0"/>
          <w:sz w:val="32"/>
          <w:szCs w:val="32"/>
          <w:lang w:eastAsia="zh-CN"/>
        </w:rPr>
        <w:t>流程，重大项目支出经过厅党组集体审议</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不</w:t>
      </w:r>
      <w:r>
        <w:rPr>
          <w:rFonts w:hint="eastAsia" w:ascii="仿宋_GB2312" w:hAnsi="宋体" w:eastAsia="仿宋_GB2312" w:cs="宋体"/>
          <w:color w:val="000000"/>
          <w:kern w:val="0"/>
          <w:sz w:val="32"/>
          <w:szCs w:val="32"/>
        </w:rPr>
        <w:t>存在截留、挤占、挪用、虚列支出等情况。</w:t>
      </w:r>
    </w:p>
    <w:p>
      <w:pPr>
        <w:spacing w:line="560" w:lineRule="exact"/>
        <w:ind w:firstLine="642" w:firstLineChars="200"/>
        <w:rPr>
          <w:rFonts w:hint="eastAsia" w:ascii="仿宋_GB2312" w:hAnsi="仿宋" w:eastAsia="仿宋_GB2312" w:cs="Times New Roman"/>
          <w:b/>
          <w:bCs/>
          <w:color w:val="000000"/>
          <w:kern w:val="2"/>
          <w:sz w:val="32"/>
          <w:szCs w:val="32"/>
        </w:rPr>
      </w:pPr>
      <w:r>
        <w:rPr>
          <w:rFonts w:hint="eastAsia" w:ascii="仿宋_GB2312" w:hAnsi="仿宋" w:eastAsia="仿宋_GB2312" w:cs="Times New Roman"/>
          <w:b/>
          <w:bCs/>
          <w:color w:val="000000"/>
          <w:kern w:val="2"/>
          <w:sz w:val="32"/>
          <w:szCs w:val="32"/>
        </w:rPr>
        <w:t>3.会计基础信息完善性</w:t>
      </w:r>
    </w:p>
    <w:p>
      <w:pPr>
        <w:spacing w:line="560" w:lineRule="exact"/>
        <w:ind w:left="0" w:leftChars="0" w:firstLine="640" w:firstLineChars="200"/>
        <w:rPr>
          <w:rFonts w:hint="eastAsia" w:ascii="仿宋_GB2312" w:hAnsi="宋体" w:eastAsia="仿宋_GB2312" w:cs="宋体"/>
          <w:color w:val="000000"/>
          <w:kern w:val="0"/>
          <w:sz w:val="32"/>
          <w:szCs w:val="32"/>
          <w:lang w:eastAsia="zh-CN"/>
        </w:rPr>
      </w:pPr>
      <w:bookmarkStart w:id="10" w:name="_Hlk103343508"/>
      <w:r>
        <w:rPr>
          <w:rFonts w:hint="eastAsia" w:ascii="仿宋_GB2312" w:hAnsi="宋体" w:eastAsia="仿宋_GB2312" w:cs="宋体"/>
          <w:color w:val="000000"/>
          <w:kern w:val="0"/>
          <w:sz w:val="32"/>
          <w:szCs w:val="32"/>
          <w:lang w:eastAsia="zh-CN"/>
        </w:rPr>
        <w:t>办公厅制定了《</w:t>
      </w:r>
      <w:r>
        <w:rPr>
          <w:rStyle w:val="15"/>
          <w:rFonts w:hint="eastAsia" w:ascii="仿宋_GB2312" w:hAnsi="宋体" w:eastAsia="仿宋_GB2312" w:cs="宋体"/>
          <w:color w:val="000000"/>
          <w:kern w:val="0"/>
          <w:sz w:val="32"/>
          <w:szCs w:val="32"/>
        </w:rPr>
        <w:t>会计管理办法</w:t>
      </w:r>
      <w:r>
        <w:rPr>
          <w:rFonts w:hint="eastAsia" w:ascii="仿宋_GB2312" w:hAnsi="宋体" w:eastAsia="仿宋_GB2312" w:cs="宋体"/>
          <w:color w:val="000000"/>
          <w:kern w:val="0"/>
          <w:sz w:val="32"/>
          <w:szCs w:val="32"/>
          <w:lang w:eastAsia="zh-CN"/>
        </w:rPr>
        <w:t>》《</w:t>
      </w:r>
      <w:r>
        <w:rPr>
          <w:rStyle w:val="15"/>
          <w:rFonts w:hint="eastAsia" w:ascii="仿宋_GB2312" w:hAnsi="宋体" w:eastAsia="仿宋_GB2312" w:cs="宋体"/>
          <w:color w:val="000000"/>
          <w:kern w:val="0"/>
          <w:sz w:val="32"/>
          <w:szCs w:val="32"/>
        </w:rPr>
        <w:t>会计档案管理办法</w:t>
      </w:r>
      <w:r>
        <w:rPr>
          <w:rFonts w:hint="eastAsia" w:ascii="仿宋_GB2312" w:hAnsi="宋体" w:eastAsia="仿宋_GB2312" w:cs="宋体"/>
          <w:color w:val="000000"/>
          <w:kern w:val="0"/>
          <w:sz w:val="32"/>
          <w:szCs w:val="32"/>
          <w:lang w:eastAsia="zh-CN"/>
        </w:rPr>
        <w:t>》，用制度进一步规范了会计人员管理、会计核算、会计监督、会计档案管理等内容，为会计基础信息提供了制度保障。</w:t>
      </w:r>
      <w:bookmarkEnd w:id="10"/>
    </w:p>
    <w:p>
      <w:pPr>
        <w:snapToGrid w:val="0"/>
        <w:spacing w:line="520" w:lineRule="exact"/>
        <w:ind w:firstLine="640" w:firstLineChars="200"/>
        <w:outlineLvl w:val="1"/>
        <w:rPr>
          <w:rFonts w:ascii="楷体_GB2312" w:hAnsi="仿宋" w:eastAsia="楷体_GB2312"/>
          <w:sz w:val="32"/>
          <w:szCs w:val="32"/>
        </w:rPr>
      </w:pPr>
      <w:bookmarkStart w:id="11" w:name="_Toc103362022"/>
      <w:r>
        <w:rPr>
          <w:rFonts w:hint="eastAsia" w:ascii="楷体_GB2312" w:hAnsi="仿宋" w:eastAsia="楷体_GB2312"/>
          <w:sz w:val="32"/>
          <w:szCs w:val="32"/>
        </w:rPr>
        <w:t>（二）资产管理</w:t>
      </w:r>
      <w:bookmarkEnd w:id="11"/>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办公厅2021年度完成固定资产划转</w:t>
      </w:r>
      <w:r>
        <w:rPr>
          <w:rFonts w:hint="eastAsia" w:ascii="仿宋_GB2312" w:hAnsi="宋体" w:eastAsia="仿宋_GB2312" w:cs="宋体"/>
          <w:color w:val="000000"/>
          <w:kern w:val="0"/>
          <w:sz w:val="32"/>
          <w:szCs w:val="32"/>
          <w:lang w:val="en-US" w:eastAsia="zh-CN"/>
        </w:rPr>
        <w:t>1997</w:t>
      </w:r>
      <w:r>
        <w:rPr>
          <w:rFonts w:hint="eastAsia" w:ascii="仿宋_GB2312" w:hAnsi="宋体" w:eastAsia="仿宋_GB2312" w:cs="宋体"/>
          <w:color w:val="000000"/>
          <w:kern w:val="0"/>
          <w:sz w:val="32"/>
          <w:szCs w:val="32"/>
        </w:rPr>
        <w:t>件，账面价值7</w:t>
      </w:r>
      <w:r>
        <w:rPr>
          <w:rFonts w:ascii="仿宋_GB2312" w:hAnsi="仿宋_GB2312" w:eastAsia="仿宋_GB2312" w:cs="仿宋_GB2312"/>
          <w:sz w:val="32"/>
          <w:szCs w:val="32"/>
        </w:rPr>
        <w:t>,</w:t>
      </w:r>
      <w:r>
        <w:rPr>
          <w:rFonts w:hint="eastAsia" w:ascii="仿宋_GB2312" w:hAnsi="宋体" w:eastAsia="仿宋_GB2312" w:cs="宋体"/>
          <w:color w:val="000000"/>
          <w:kern w:val="0"/>
          <w:sz w:val="32"/>
          <w:szCs w:val="32"/>
        </w:rPr>
        <w:t>477.58万元，报废、核销固定资产384件，账面价值5</w:t>
      </w:r>
      <w:r>
        <w:rPr>
          <w:rFonts w:ascii="仿宋_GB2312" w:hAnsi="仿宋_GB2312" w:eastAsia="仿宋_GB2312" w:cs="仿宋_GB2312"/>
          <w:sz w:val="32"/>
          <w:szCs w:val="32"/>
        </w:rPr>
        <w:t>,</w:t>
      </w:r>
      <w:r>
        <w:rPr>
          <w:rFonts w:hint="eastAsia" w:ascii="仿宋_GB2312" w:hAnsi="宋体" w:eastAsia="仿宋_GB2312" w:cs="宋体"/>
          <w:color w:val="000000"/>
          <w:kern w:val="0"/>
          <w:sz w:val="32"/>
          <w:szCs w:val="32"/>
        </w:rPr>
        <w:t>773.20万元。2021年年末固定资产原值为6</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583.47万元，固定资产累计折旧2</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524.66万元。</w:t>
      </w:r>
    </w:p>
    <w:p>
      <w:pPr>
        <w:snapToGrid w:val="0"/>
        <w:spacing w:line="520" w:lineRule="exact"/>
        <w:ind w:firstLine="640" w:firstLineChars="200"/>
        <w:outlineLvl w:val="1"/>
        <w:rPr>
          <w:rFonts w:ascii="楷体_GB2312" w:hAnsi="仿宋" w:eastAsia="楷体_GB2312"/>
          <w:sz w:val="32"/>
          <w:szCs w:val="32"/>
        </w:rPr>
      </w:pPr>
      <w:bookmarkStart w:id="12" w:name="_Toc103362023"/>
      <w:r>
        <w:rPr>
          <w:rFonts w:hint="eastAsia" w:ascii="楷体_GB2312" w:hAnsi="仿宋" w:eastAsia="楷体_GB2312"/>
          <w:sz w:val="32"/>
          <w:szCs w:val="32"/>
        </w:rPr>
        <w:t>（三）绩效</w:t>
      </w:r>
      <w:r>
        <w:rPr>
          <w:rFonts w:ascii="楷体_GB2312" w:hAnsi="仿宋" w:eastAsia="楷体_GB2312"/>
          <w:sz w:val="32"/>
          <w:szCs w:val="32"/>
        </w:rPr>
        <w:t>管理</w:t>
      </w:r>
      <w:bookmarkEnd w:id="12"/>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办公厅预算绩效管理工作由</w:t>
      </w:r>
      <w:r>
        <w:rPr>
          <w:rFonts w:hint="eastAsia" w:ascii="仿宋_GB2312" w:eastAsia="仿宋_GB2312"/>
          <w:sz w:val="32"/>
          <w:szCs w:val="32"/>
        </w:rPr>
        <w:t>业务</w:t>
      </w:r>
      <w:r>
        <w:rPr>
          <w:rFonts w:hint="eastAsia" w:ascii="仿宋_GB2312" w:eastAsia="仿宋_GB2312"/>
          <w:sz w:val="32"/>
          <w:szCs w:val="32"/>
          <w:lang w:eastAsia="zh-CN"/>
        </w:rPr>
        <w:t>承办</w:t>
      </w:r>
      <w:r>
        <w:rPr>
          <w:rFonts w:hint="eastAsia" w:ascii="仿宋_GB2312" w:eastAsia="仿宋_GB2312"/>
          <w:sz w:val="32"/>
          <w:szCs w:val="32"/>
        </w:rPr>
        <w:t>处室、财务处及社会专业机构</w:t>
      </w:r>
      <w:r>
        <w:rPr>
          <w:rFonts w:hint="eastAsia" w:ascii="仿宋_GB2312" w:eastAsia="仿宋_GB2312"/>
          <w:sz w:val="32"/>
          <w:szCs w:val="32"/>
          <w:lang w:eastAsia="zh-CN"/>
        </w:rPr>
        <w:t>共同完成</w:t>
      </w:r>
      <w:r>
        <w:rPr>
          <w:rFonts w:hint="eastAsia" w:ascii="仿宋_GB2312" w:eastAsia="仿宋_GB2312"/>
          <w:sz w:val="32"/>
          <w:szCs w:val="32"/>
        </w:rPr>
        <w:t>。业务</w:t>
      </w:r>
      <w:r>
        <w:rPr>
          <w:rFonts w:hint="eastAsia" w:ascii="仿宋_GB2312" w:eastAsia="仿宋_GB2312"/>
          <w:sz w:val="32"/>
          <w:szCs w:val="32"/>
          <w:lang w:eastAsia="zh-CN"/>
        </w:rPr>
        <w:t>承办</w:t>
      </w:r>
      <w:r>
        <w:rPr>
          <w:rFonts w:hint="eastAsia" w:ascii="仿宋_GB2312" w:eastAsia="仿宋_GB2312"/>
          <w:sz w:val="32"/>
          <w:szCs w:val="32"/>
        </w:rPr>
        <w:t>处室是项目预算绩效管理的责任主体，负责本处室申报项目绩效管理的具体实施，制定清晰、量化、便于考核的绩效指标，将预算绩效贯穿预算编制</w:t>
      </w:r>
      <w:r>
        <w:rPr>
          <w:rFonts w:ascii="仿宋_GB2312" w:eastAsia="仿宋_GB2312"/>
          <w:sz w:val="32"/>
          <w:szCs w:val="32"/>
        </w:rPr>
        <w:t>、执行</w:t>
      </w:r>
      <w:r>
        <w:rPr>
          <w:rFonts w:hint="eastAsia" w:ascii="仿宋_GB2312" w:eastAsia="仿宋_GB2312"/>
          <w:sz w:val="32"/>
          <w:szCs w:val="32"/>
        </w:rPr>
        <w:t>全过程</w:t>
      </w:r>
      <w:r>
        <w:rPr>
          <w:rFonts w:hint="eastAsia" w:ascii="仿宋_GB2312" w:eastAsia="仿宋_GB2312"/>
          <w:sz w:val="32"/>
          <w:szCs w:val="32"/>
          <w:lang w:eastAsia="zh-CN"/>
        </w:rPr>
        <w:t>。财务处</w:t>
      </w:r>
      <w:r>
        <w:rPr>
          <w:rFonts w:hint="eastAsia" w:ascii="仿宋_GB2312" w:eastAsia="仿宋_GB2312"/>
          <w:sz w:val="32"/>
          <w:szCs w:val="32"/>
        </w:rPr>
        <w:t>负责制定预算绩效管理实施细则，统一组织指导预算绩效管理工作；负责绩效目标的形式性审核、跟踪项目预算执行；聘请社会专业机构协助各处室开展事前绩效评估、绩效评价和再评价；定期对预算绩效管理和绩效评价结果总结、分析；按照市财政局的要求公开预算绩效结果情况。社会专业机构</w:t>
      </w:r>
      <w:r>
        <w:rPr>
          <w:rFonts w:hint="eastAsia" w:ascii="仿宋_GB2312" w:eastAsia="仿宋_GB2312"/>
          <w:sz w:val="32"/>
          <w:szCs w:val="32"/>
          <w:lang w:eastAsia="zh-CN"/>
        </w:rPr>
        <w:t>负责绩效目标审核、绩效评价的复核。</w:t>
      </w:r>
    </w:p>
    <w:p>
      <w:pPr>
        <w:snapToGrid w:val="0"/>
        <w:spacing w:line="520" w:lineRule="exact"/>
        <w:ind w:firstLine="640" w:firstLineChars="200"/>
        <w:outlineLvl w:val="1"/>
        <w:rPr>
          <w:rFonts w:ascii="楷体_GB2312" w:hAnsi="仿宋" w:eastAsia="楷体_GB2312"/>
          <w:sz w:val="32"/>
          <w:szCs w:val="32"/>
        </w:rPr>
      </w:pPr>
      <w:bookmarkStart w:id="13" w:name="_Toc103362024"/>
      <w:r>
        <w:rPr>
          <w:rFonts w:hint="eastAsia" w:ascii="楷体_GB2312" w:hAnsi="仿宋" w:eastAsia="楷体_GB2312"/>
          <w:sz w:val="32"/>
          <w:szCs w:val="32"/>
        </w:rPr>
        <w:t>（四）结转结余率</w:t>
      </w:r>
      <w:bookmarkEnd w:id="13"/>
    </w:p>
    <w:p>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2021年度，办公厅年末结转结余总额为</w:t>
      </w:r>
      <w:r>
        <w:rPr>
          <w:rFonts w:ascii="仿宋_GB2312" w:hAnsi="仿宋_GB2312" w:eastAsia="仿宋_GB2312" w:cs="仿宋_GB2312"/>
          <w:sz w:val="32"/>
          <w:szCs w:val="32"/>
        </w:rPr>
        <w:t>1,109.</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万元，支出全年预算数为</w:t>
      </w:r>
      <w:r>
        <w:rPr>
          <w:rFonts w:ascii="仿宋_GB2312" w:hAnsi="仿宋" w:eastAsia="仿宋_GB2312"/>
          <w:sz w:val="32"/>
          <w:szCs w:val="32"/>
        </w:rPr>
        <w:t>14</w:t>
      </w:r>
      <w:r>
        <w:rPr>
          <w:rFonts w:ascii="仿宋_GB2312" w:hAnsi="仿宋_GB2312" w:eastAsia="仿宋_GB2312" w:cs="仿宋_GB2312"/>
          <w:sz w:val="32"/>
          <w:szCs w:val="32"/>
        </w:rPr>
        <w:t>,</w:t>
      </w:r>
      <w:r>
        <w:rPr>
          <w:rFonts w:ascii="仿宋_GB2312" w:hAnsi="仿宋" w:eastAsia="仿宋_GB2312"/>
          <w:sz w:val="32"/>
          <w:szCs w:val="32"/>
        </w:rPr>
        <w:t>037.</w:t>
      </w:r>
      <w:r>
        <w:rPr>
          <w:rFonts w:hint="eastAsia" w:ascii="仿宋_GB2312" w:hAnsi="仿宋" w:eastAsia="仿宋_GB2312"/>
          <w:sz w:val="32"/>
          <w:szCs w:val="32"/>
          <w:lang w:val="en-US" w:eastAsia="zh-CN"/>
        </w:rPr>
        <w:t>21</w:t>
      </w:r>
      <w:r>
        <w:rPr>
          <w:rFonts w:hint="eastAsia" w:ascii="仿宋_GB2312" w:hAnsi="仿宋_GB2312" w:eastAsia="仿宋_GB2312" w:cs="仿宋_GB2312"/>
          <w:sz w:val="32"/>
          <w:szCs w:val="32"/>
        </w:rPr>
        <w:t>万元，2021年度部门</w:t>
      </w:r>
      <w:r>
        <w:rPr>
          <w:rFonts w:hint="eastAsia" w:ascii="仿宋_GB2312" w:eastAsia="仿宋_GB2312"/>
          <w:sz w:val="32"/>
          <w:szCs w:val="32"/>
        </w:rPr>
        <w:t>结转</w:t>
      </w:r>
      <w:r>
        <w:rPr>
          <w:rFonts w:hint="eastAsia" w:ascii="仿宋_GB2312" w:hAnsi="仿宋_GB2312" w:eastAsia="仿宋_GB2312" w:cs="仿宋_GB2312"/>
          <w:sz w:val="32"/>
          <w:szCs w:val="32"/>
        </w:rPr>
        <w:t>结余率为</w:t>
      </w:r>
      <w:r>
        <w:rPr>
          <w:rFonts w:ascii="仿宋_GB2312" w:hAnsi="仿宋_GB2312" w:eastAsia="仿宋_GB2312" w:cs="仿宋_GB2312"/>
          <w:sz w:val="32"/>
          <w:szCs w:val="32"/>
        </w:rPr>
        <w:t>7.90%</w:t>
      </w:r>
      <w:r>
        <w:rPr>
          <w:rFonts w:hint="eastAsia" w:ascii="仿宋_GB2312" w:hAnsi="仿宋_GB2312" w:eastAsia="仿宋_GB2312" w:cs="仿宋_GB2312"/>
          <w:sz w:val="32"/>
          <w:szCs w:val="32"/>
        </w:rPr>
        <w:t>。</w:t>
      </w:r>
    </w:p>
    <w:p>
      <w:pPr>
        <w:snapToGrid w:val="0"/>
        <w:spacing w:line="520" w:lineRule="exact"/>
        <w:ind w:firstLine="640" w:firstLineChars="200"/>
        <w:outlineLvl w:val="1"/>
        <w:rPr>
          <w:rFonts w:ascii="仿宋_GB2312" w:hAnsi="仿宋_GB2312" w:eastAsia="仿宋_GB2312" w:cs="仿宋_GB2312"/>
          <w:sz w:val="32"/>
          <w:szCs w:val="32"/>
        </w:rPr>
      </w:pPr>
      <w:bookmarkStart w:id="14" w:name="_Toc103362025"/>
      <w:r>
        <w:rPr>
          <w:rFonts w:hint="eastAsia" w:ascii="楷体_GB2312" w:hAnsi="仿宋" w:eastAsia="楷体_GB2312"/>
          <w:sz w:val="32"/>
          <w:szCs w:val="32"/>
        </w:rPr>
        <w:t>（五）部门</w:t>
      </w:r>
      <w:r>
        <w:rPr>
          <w:rFonts w:ascii="楷体_GB2312" w:hAnsi="仿宋" w:eastAsia="楷体_GB2312"/>
          <w:sz w:val="32"/>
          <w:szCs w:val="32"/>
        </w:rPr>
        <w:t>预决算差异率</w:t>
      </w:r>
      <w:bookmarkEnd w:id="14"/>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2021年度</w:t>
      </w:r>
      <w:r>
        <w:rPr>
          <w:rFonts w:hint="eastAsia" w:ascii="仿宋_GB2312" w:hAnsi="宋体" w:eastAsia="仿宋_GB2312" w:cs="宋体"/>
          <w:color w:val="000000"/>
          <w:kern w:val="0"/>
          <w:sz w:val="32"/>
          <w:szCs w:val="32"/>
        </w:rPr>
        <w:t>，</w:t>
      </w:r>
      <w:r>
        <w:rPr>
          <w:rFonts w:hint="eastAsia" w:ascii="仿宋_GB2312" w:hAnsi="仿宋_GB2312" w:eastAsia="仿宋_GB2312" w:cs="仿宋_GB2312"/>
          <w:sz w:val="32"/>
          <w:szCs w:val="32"/>
        </w:rPr>
        <w:t>办公厅</w:t>
      </w:r>
      <w:r>
        <w:rPr>
          <w:rFonts w:hint="eastAsia" w:ascii="仿宋_GB2312" w:hAnsi="宋体" w:eastAsia="仿宋_GB2312" w:cs="宋体"/>
          <w:color w:val="000000"/>
          <w:kern w:val="0"/>
          <w:sz w:val="32"/>
          <w:szCs w:val="32"/>
        </w:rPr>
        <w:t>年初</w:t>
      </w:r>
      <w:r>
        <w:rPr>
          <w:rFonts w:hint="eastAsia" w:ascii="仿宋_GB2312" w:hAnsi="仿宋_GB2312" w:eastAsia="仿宋_GB2312" w:cs="仿宋_GB2312"/>
          <w:sz w:val="32"/>
          <w:szCs w:val="32"/>
        </w:rPr>
        <w:t>预算数为</w:t>
      </w:r>
      <w:r>
        <w:rPr>
          <w:rFonts w:ascii="仿宋_GB2312" w:hAnsi="仿宋_GB2312" w:eastAsia="仿宋_GB2312" w:cs="仿宋_GB2312"/>
          <w:sz w:val="32"/>
          <w:szCs w:val="32"/>
        </w:rPr>
        <w:t>12,956.</w:t>
      </w:r>
      <w:r>
        <w:rPr>
          <w:rFonts w:hint="eastAsia" w:ascii="仿宋_GB2312" w:hAnsi="仿宋_GB2312" w:eastAsia="仿宋_GB2312" w:cs="仿宋_GB2312"/>
          <w:sz w:val="32"/>
          <w:szCs w:val="32"/>
          <w:lang w:val="en-US" w:eastAsia="zh-CN"/>
        </w:rPr>
        <w:t>97</w:t>
      </w:r>
      <w:r>
        <w:rPr>
          <w:rFonts w:hint="eastAsia" w:ascii="仿宋_GB2312" w:hAnsi="仿宋_GB2312" w:eastAsia="仿宋_GB2312" w:cs="仿宋_GB2312"/>
          <w:sz w:val="32"/>
          <w:szCs w:val="32"/>
        </w:rPr>
        <w:t>万元，年末部门决算数为</w:t>
      </w:r>
      <w:r>
        <w:rPr>
          <w:rFonts w:ascii="仿宋_GB2312" w:hAnsi="仿宋_GB2312" w:eastAsia="仿宋_GB2312" w:cs="仿宋_GB2312"/>
          <w:sz w:val="32"/>
          <w:szCs w:val="32"/>
        </w:rPr>
        <w:t>12,895.</w:t>
      </w:r>
      <w:r>
        <w:rPr>
          <w:rFonts w:hint="eastAsia" w:ascii="仿宋_GB2312" w:hAnsi="仿宋_GB2312" w:eastAsia="仿宋_GB2312" w:cs="仿宋_GB2312"/>
          <w:sz w:val="32"/>
          <w:szCs w:val="32"/>
          <w:lang w:val="en-US" w:eastAsia="zh-CN"/>
        </w:rPr>
        <w:t>67</w:t>
      </w:r>
      <w:r>
        <w:rPr>
          <w:rFonts w:hint="eastAsia" w:ascii="仿宋_GB2312" w:hAnsi="仿宋_GB2312" w:eastAsia="仿宋_GB2312" w:cs="仿宋_GB2312"/>
          <w:sz w:val="32"/>
          <w:szCs w:val="32"/>
        </w:rPr>
        <w:t>万元，部门预决算</w:t>
      </w:r>
      <w:r>
        <w:rPr>
          <w:rFonts w:hint="eastAsia" w:ascii="仿宋_GB2312" w:eastAsia="仿宋_GB2312"/>
          <w:sz w:val="32"/>
          <w:szCs w:val="32"/>
        </w:rPr>
        <w:t>差异</w:t>
      </w:r>
      <w:r>
        <w:rPr>
          <w:rFonts w:hint="eastAsia" w:ascii="仿宋_GB2312" w:hAnsi="仿宋_GB2312" w:eastAsia="仿宋_GB2312" w:cs="仿宋_GB2312"/>
          <w:sz w:val="32"/>
          <w:szCs w:val="32"/>
        </w:rPr>
        <w:t>率为</w:t>
      </w:r>
      <w:r>
        <w:rPr>
          <w:rFonts w:ascii="仿宋_GB2312" w:hAnsi="仿宋_GB2312" w:eastAsia="仿宋_GB2312" w:cs="仿宋_GB2312"/>
          <w:sz w:val="32"/>
          <w:szCs w:val="32"/>
        </w:rPr>
        <w:t>0.47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远低于</w:t>
      </w:r>
      <w:r>
        <w:rPr>
          <w:rFonts w:hint="eastAsia" w:ascii="仿宋_GB2312" w:hAnsi="仿宋_GB2312" w:eastAsia="仿宋_GB2312" w:cs="仿宋_GB2312"/>
          <w:sz w:val="32"/>
          <w:szCs w:val="32"/>
        </w:rPr>
        <w:t>市级平均差异率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28.3</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snapToGrid w:val="0"/>
        <w:spacing w:line="520" w:lineRule="exact"/>
        <w:ind w:firstLine="640" w:firstLineChars="200"/>
        <w:outlineLvl w:val="0"/>
        <w:rPr>
          <w:rFonts w:ascii="黑体" w:hAnsi="黑体" w:eastAsia="黑体"/>
          <w:sz w:val="32"/>
          <w:szCs w:val="32"/>
        </w:rPr>
      </w:pPr>
      <w:bookmarkStart w:id="15" w:name="_Toc103362026"/>
      <w:r>
        <w:rPr>
          <w:rFonts w:hint="eastAsia" w:ascii="黑体" w:hAnsi="黑体" w:eastAsia="黑体"/>
          <w:sz w:val="32"/>
          <w:szCs w:val="32"/>
        </w:rPr>
        <w:t>五、总体</w:t>
      </w:r>
      <w:r>
        <w:rPr>
          <w:rFonts w:ascii="黑体" w:hAnsi="黑体" w:eastAsia="黑体"/>
          <w:sz w:val="32"/>
          <w:szCs w:val="32"/>
        </w:rPr>
        <w:t>评价结论</w:t>
      </w:r>
      <w:bookmarkEnd w:id="15"/>
    </w:p>
    <w:p>
      <w:pPr>
        <w:snapToGrid w:val="0"/>
        <w:spacing w:line="520" w:lineRule="exact"/>
        <w:ind w:firstLine="640" w:firstLineChars="200"/>
        <w:outlineLvl w:val="1"/>
        <w:rPr>
          <w:rFonts w:ascii="楷体_GB2312" w:hAnsi="仿宋" w:eastAsia="楷体_GB2312"/>
          <w:sz w:val="32"/>
          <w:szCs w:val="32"/>
        </w:rPr>
      </w:pPr>
      <w:bookmarkStart w:id="16" w:name="_Toc103362027"/>
      <w:r>
        <w:rPr>
          <w:rFonts w:hint="eastAsia" w:ascii="楷体_GB2312" w:hAnsi="仿宋" w:eastAsia="楷体_GB2312"/>
          <w:sz w:val="32"/>
          <w:szCs w:val="32"/>
        </w:rPr>
        <w:t>（一）评价</w:t>
      </w:r>
      <w:r>
        <w:rPr>
          <w:rFonts w:ascii="楷体_GB2312" w:hAnsi="仿宋" w:eastAsia="楷体_GB2312"/>
          <w:sz w:val="32"/>
          <w:szCs w:val="32"/>
        </w:rPr>
        <w:t>得分</w:t>
      </w:r>
      <w:r>
        <w:rPr>
          <w:rFonts w:hint="eastAsia" w:ascii="楷体_GB2312" w:hAnsi="仿宋" w:eastAsia="楷体_GB2312"/>
          <w:sz w:val="32"/>
          <w:szCs w:val="32"/>
        </w:rPr>
        <w:t>情况</w:t>
      </w:r>
      <w:bookmarkEnd w:id="16"/>
    </w:p>
    <w:p>
      <w:pPr>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sz w:val="32"/>
          <w:szCs w:val="32"/>
          <w:lang w:eastAsia="zh-CN"/>
        </w:rPr>
        <w:t>按照财政规定的评分标准，</w:t>
      </w:r>
      <w:r>
        <w:rPr>
          <w:rFonts w:hint="eastAsia" w:ascii="仿宋_GB2312" w:hAnsi="仿宋_GB2312" w:eastAsia="仿宋_GB2312" w:cs="仿宋_GB2312"/>
          <w:sz w:val="32"/>
          <w:szCs w:val="32"/>
        </w:rPr>
        <w:t>办公厅部门整体绩效评价得分为94.</w:t>
      </w:r>
      <w:r>
        <w:rPr>
          <w:rFonts w:ascii="仿宋_GB2312" w:hAnsi="仿宋_GB2312" w:eastAsia="仿宋_GB2312" w:cs="仿宋_GB2312"/>
          <w:sz w:val="32"/>
          <w:szCs w:val="32"/>
        </w:rPr>
        <w:t>44</w:t>
      </w:r>
      <w:r>
        <w:rPr>
          <w:rFonts w:hint="eastAsia" w:ascii="仿宋_GB2312" w:hAnsi="仿宋_GB2312" w:eastAsia="仿宋_GB2312" w:cs="仿宋_GB2312"/>
          <w:sz w:val="32"/>
          <w:szCs w:val="32"/>
        </w:rPr>
        <w:t>分，得分及扣分原因见附件。</w:t>
      </w:r>
    </w:p>
    <w:p>
      <w:pPr>
        <w:numPr>
          <w:ilvl w:val="0"/>
          <w:numId w:val="1"/>
        </w:numPr>
        <w:spacing w:line="560" w:lineRule="exact"/>
        <w:ind w:firstLine="640" w:firstLineChars="200"/>
        <w:rPr>
          <w:rFonts w:hint="eastAsia" w:ascii="楷体_GB2312" w:hAnsi="仿宋" w:eastAsia="楷体_GB2312"/>
          <w:sz w:val="32"/>
          <w:szCs w:val="32"/>
          <w:lang w:eastAsia="zh-CN"/>
        </w:rPr>
      </w:pPr>
      <w:r>
        <w:rPr>
          <w:rFonts w:hint="eastAsia" w:ascii="楷体_GB2312" w:hAnsi="仿宋" w:eastAsia="楷体_GB2312"/>
          <w:sz w:val="32"/>
          <w:szCs w:val="32"/>
          <w:lang w:eastAsia="zh-CN"/>
        </w:rPr>
        <w:t>主要扣分项</w:t>
      </w:r>
    </w:p>
    <w:p>
      <w:pPr>
        <w:numPr>
          <w:ilvl w:val="0"/>
          <w:numId w:val="0"/>
        </w:numPr>
        <w:spacing w:line="560" w:lineRule="exact"/>
        <w:ind w:firstLine="640"/>
        <w:rPr>
          <w:rFonts w:hint="eastAsia" w:ascii="仿宋_GB2312" w:hAnsi="楷体" w:eastAsia="仿宋_GB2312"/>
          <w:sz w:val="32"/>
          <w:szCs w:val="32"/>
        </w:rPr>
      </w:pPr>
      <w:r>
        <w:rPr>
          <w:rFonts w:hint="eastAsia" w:ascii="仿宋_GB2312" w:hAnsi="仿宋" w:eastAsia="仿宋_GB2312" w:cs="Times New Roman"/>
          <w:b/>
          <w:bCs/>
          <w:color w:val="000000"/>
          <w:kern w:val="2"/>
          <w:sz w:val="32"/>
          <w:szCs w:val="32"/>
          <w:lang w:val="en-US" w:eastAsia="zh-CN"/>
        </w:rPr>
        <w:t>一是</w:t>
      </w:r>
      <w:r>
        <w:rPr>
          <w:rFonts w:hint="eastAsia" w:ascii="仿宋" w:hAnsi="仿宋" w:eastAsia="仿宋" w:cs="仿宋"/>
          <w:color w:val="000000"/>
          <w:sz w:val="32"/>
          <w:szCs w:val="32"/>
          <w:lang w:val="en-US" w:eastAsia="zh-CN"/>
        </w:rPr>
        <w:t>预算执行未达到100%，存在结转结余资金，导致预算执行率和结转结余率两个指标扣分，</w:t>
      </w:r>
      <w:r>
        <w:rPr>
          <w:rFonts w:hint="eastAsia" w:ascii="仿宋_GB2312" w:hAnsi="仿宋_GB2312" w:eastAsia="仿宋_GB2312" w:cs="仿宋_GB2312"/>
          <w:sz w:val="32"/>
          <w:szCs w:val="32"/>
          <w:lang w:eastAsia="zh-CN"/>
        </w:rPr>
        <w:t>主要原因是</w:t>
      </w:r>
      <w:r>
        <w:rPr>
          <w:rFonts w:hint="eastAsia" w:ascii="仿宋" w:hAnsi="仿宋" w:eastAsia="仿宋" w:cs="仿宋"/>
          <w:color w:val="000000"/>
          <w:sz w:val="32"/>
          <w:szCs w:val="32"/>
        </w:rPr>
        <w:t>按照过“紧日子”的要求，压减预算支出，基本经费的结余资金增加</w:t>
      </w:r>
      <w:r>
        <w:rPr>
          <w:rFonts w:hint="eastAsia" w:ascii="仿宋" w:hAnsi="仿宋" w:eastAsia="仿宋" w:cs="仿宋"/>
          <w:color w:val="000000"/>
          <w:sz w:val="32"/>
          <w:szCs w:val="32"/>
          <w:lang w:eastAsia="zh-CN"/>
        </w:rPr>
        <w:t>；此外，</w:t>
      </w:r>
      <w:r>
        <w:rPr>
          <w:rFonts w:hint="eastAsia" w:ascii="仿宋_GB2312" w:hAnsi="楷体" w:eastAsia="仿宋_GB2312"/>
          <w:sz w:val="32"/>
          <w:szCs w:val="32"/>
        </w:rPr>
        <w:t>按照全市统一安排建立涉密基建项目，因项目分期建设导致相应预算资金产生结余。</w:t>
      </w:r>
      <w:r>
        <w:rPr>
          <w:rFonts w:hint="eastAsia" w:ascii="仿宋" w:hAnsi="仿宋" w:eastAsia="仿宋" w:cs="仿宋"/>
          <w:color w:val="000000"/>
          <w:sz w:val="32"/>
          <w:szCs w:val="32"/>
          <w:lang w:val="en-US" w:eastAsia="zh-CN"/>
        </w:rPr>
        <w:t>经与市财政局提供的“部门预决算差异率”对比，办公厅2021年</w:t>
      </w:r>
      <w:r>
        <w:rPr>
          <w:rFonts w:hint="eastAsia" w:ascii="仿宋" w:hAnsi="仿宋" w:eastAsia="仿宋" w:cs="仿宋"/>
          <w:color w:val="000000"/>
          <w:sz w:val="32"/>
          <w:szCs w:val="32"/>
        </w:rPr>
        <w:t>部门预决算差异率</w:t>
      </w:r>
      <w:r>
        <w:rPr>
          <w:rFonts w:hint="eastAsia" w:ascii="仿宋" w:hAnsi="仿宋" w:eastAsia="仿宋" w:cs="仿宋"/>
          <w:color w:val="000000"/>
          <w:sz w:val="32"/>
          <w:szCs w:val="32"/>
          <w:lang w:eastAsia="zh-CN"/>
        </w:rPr>
        <w:t>仅</w:t>
      </w:r>
      <w:r>
        <w:rPr>
          <w:rFonts w:hint="eastAsia" w:ascii="仿宋" w:hAnsi="仿宋" w:eastAsia="仿宋" w:cs="仿宋"/>
          <w:color w:val="000000"/>
          <w:sz w:val="32"/>
          <w:szCs w:val="32"/>
        </w:rPr>
        <w:t>为0.47%，</w:t>
      </w:r>
      <w:r>
        <w:rPr>
          <w:rFonts w:hint="eastAsia" w:ascii="仿宋" w:hAnsi="仿宋" w:eastAsia="仿宋" w:cs="仿宋"/>
          <w:color w:val="000000"/>
          <w:sz w:val="32"/>
          <w:szCs w:val="32"/>
          <w:lang w:eastAsia="zh-CN"/>
        </w:rPr>
        <w:t>远低于</w:t>
      </w:r>
      <w:r>
        <w:rPr>
          <w:rFonts w:hint="eastAsia" w:ascii="仿宋" w:hAnsi="仿宋" w:eastAsia="仿宋" w:cs="仿宋"/>
          <w:color w:val="000000"/>
          <w:sz w:val="32"/>
          <w:szCs w:val="32"/>
        </w:rPr>
        <w:t>市级平均</w:t>
      </w:r>
      <w:r>
        <w:rPr>
          <w:rFonts w:hint="eastAsia" w:ascii="仿宋" w:hAnsi="仿宋" w:eastAsia="仿宋" w:cs="仿宋"/>
          <w:color w:val="000000"/>
          <w:sz w:val="32"/>
          <w:szCs w:val="32"/>
          <w:lang w:eastAsia="zh-CN"/>
        </w:rPr>
        <w:t>值（</w:t>
      </w:r>
      <w:r>
        <w:rPr>
          <w:rFonts w:hint="eastAsia" w:ascii="仿宋" w:hAnsi="仿宋" w:eastAsia="仿宋" w:cs="仿宋"/>
          <w:color w:val="000000"/>
          <w:sz w:val="32"/>
          <w:szCs w:val="32"/>
        </w:rPr>
        <w:t>28.3</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spacing w:line="560" w:lineRule="exact"/>
        <w:ind w:firstLine="642" w:firstLineChars="200"/>
        <w:rPr>
          <w:rFonts w:ascii="仿宋_GB2312" w:hAnsi="宋体" w:eastAsia="仿宋_GB2312" w:cs="宋体"/>
          <w:color w:val="000000"/>
          <w:kern w:val="0"/>
          <w:sz w:val="32"/>
          <w:szCs w:val="32"/>
        </w:rPr>
      </w:pPr>
      <w:r>
        <w:rPr>
          <w:rFonts w:hint="eastAsia" w:ascii="仿宋_GB2312" w:hAnsi="仿宋" w:eastAsia="仿宋_GB2312" w:cs="Times New Roman"/>
          <w:b/>
          <w:bCs/>
          <w:color w:val="000000"/>
          <w:kern w:val="2"/>
          <w:sz w:val="32"/>
          <w:szCs w:val="32"/>
          <w:lang w:val="en-US" w:eastAsia="zh-CN"/>
        </w:rPr>
        <w:t>二是</w:t>
      </w:r>
      <w:r>
        <w:rPr>
          <w:rFonts w:hint="eastAsia" w:ascii="仿宋_GB2312" w:hAnsi="楷体" w:eastAsia="仿宋_GB2312"/>
          <w:sz w:val="32"/>
          <w:szCs w:val="32"/>
          <w:lang w:val="en-US" w:eastAsia="zh-CN"/>
        </w:rPr>
        <w:t>个别项目开展时间晚于预期时间，导致部门年度产出进度扣分。受疫情影响，“</w:t>
      </w:r>
      <w:r>
        <w:rPr>
          <w:rFonts w:hint="eastAsia" w:ascii="仿宋_GB2312" w:hAnsi="宋体" w:eastAsia="仿宋_GB2312" w:cs="宋体"/>
          <w:color w:val="000000"/>
          <w:kern w:val="0"/>
          <w:sz w:val="32"/>
          <w:szCs w:val="32"/>
        </w:rPr>
        <w:t>信息咨询业务经费项目</w:t>
      </w:r>
      <w:r>
        <w:rPr>
          <w:rFonts w:hint="eastAsia" w:ascii="仿宋_GB2312" w:hAnsi="楷体" w:eastAsia="仿宋_GB2312"/>
          <w:sz w:val="32"/>
          <w:szCs w:val="32"/>
          <w:lang w:val="en-US" w:eastAsia="zh-CN"/>
        </w:rPr>
        <w:t>”</w:t>
      </w:r>
      <w:r>
        <w:rPr>
          <w:rFonts w:hint="eastAsia" w:ascii="仿宋_GB2312" w:hAnsi="宋体" w:eastAsia="仿宋_GB2312" w:cs="宋体"/>
          <w:color w:val="000000"/>
          <w:kern w:val="0"/>
          <w:sz w:val="32"/>
          <w:szCs w:val="32"/>
        </w:rPr>
        <w:t>招标、合同签订</w:t>
      </w:r>
      <w:r>
        <w:rPr>
          <w:rFonts w:hint="eastAsia" w:ascii="仿宋_GB2312" w:hAnsi="宋体" w:eastAsia="仿宋_GB2312" w:cs="宋体"/>
          <w:color w:val="000000"/>
          <w:kern w:val="0"/>
          <w:sz w:val="32"/>
          <w:szCs w:val="32"/>
          <w:lang w:eastAsia="zh-CN"/>
        </w:rPr>
        <w:t>与预期目标</w:t>
      </w:r>
      <w:r>
        <w:rPr>
          <w:rFonts w:hint="eastAsia" w:ascii="仿宋_GB2312" w:hAnsi="宋体" w:eastAsia="仿宋_GB2312" w:cs="宋体"/>
          <w:color w:val="000000"/>
          <w:kern w:val="0"/>
          <w:sz w:val="32"/>
          <w:szCs w:val="32"/>
        </w:rPr>
        <w:t>略有延迟</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公众满意度第三方调查</w:t>
      </w:r>
      <w:r>
        <w:rPr>
          <w:rFonts w:hint="eastAsia" w:ascii="仿宋_GB2312" w:eastAsia="仿宋_GB2312"/>
          <w:sz w:val="32"/>
          <w:szCs w:val="32"/>
        </w:rPr>
        <w:t>经费</w:t>
      </w:r>
      <w:r>
        <w:rPr>
          <w:rFonts w:hint="eastAsia" w:ascii="仿宋_GB2312" w:hAnsi="宋体" w:eastAsia="仿宋_GB2312" w:cs="宋体"/>
          <w:color w:val="000000"/>
          <w:kern w:val="0"/>
          <w:sz w:val="32"/>
          <w:szCs w:val="32"/>
        </w:rPr>
        <w:t>项目</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合同签订</w:t>
      </w:r>
      <w:r>
        <w:rPr>
          <w:rFonts w:hint="eastAsia" w:ascii="仿宋_GB2312" w:hAnsi="宋体" w:eastAsia="仿宋_GB2312" w:cs="宋体"/>
          <w:color w:val="000000"/>
          <w:kern w:val="0"/>
          <w:sz w:val="32"/>
          <w:szCs w:val="32"/>
          <w:lang w:eastAsia="zh-CN"/>
        </w:rPr>
        <w:t>与预期目标</w:t>
      </w:r>
      <w:r>
        <w:rPr>
          <w:rFonts w:hint="eastAsia" w:ascii="仿宋_GB2312" w:hAnsi="宋体" w:eastAsia="仿宋_GB2312" w:cs="宋体"/>
          <w:color w:val="000000"/>
          <w:kern w:val="0"/>
          <w:sz w:val="32"/>
          <w:szCs w:val="32"/>
        </w:rPr>
        <w:t>略有延迟。</w:t>
      </w:r>
    </w:p>
    <w:p>
      <w:pPr>
        <w:numPr>
          <w:ilvl w:val="0"/>
          <w:numId w:val="2"/>
        </w:numPr>
        <w:snapToGrid w:val="0"/>
        <w:spacing w:line="520" w:lineRule="exact"/>
        <w:ind w:firstLine="640" w:firstLineChars="200"/>
        <w:outlineLvl w:val="0"/>
        <w:rPr>
          <w:rFonts w:hint="eastAsia" w:ascii="黑体" w:hAnsi="黑体" w:eastAsia="黑体"/>
          <w:sz w:val="32"/>
          <w:szCs w:val="32"/>
          <w:lang w:eastAsia="zh-CN"/>
        </w:rPr>
      </w:pPr>
      <w:r>
        <w:rPr>
          <w:rFonts w:hint="eastAsia" w:ascii="黑体" w:hAnsi="黑体" w:eastAsia="黑体"/>
          <w:sz w:val="32"/>
          <w:szCs w:val="32"/>
          <w:lang w:eastAsia="zh-CN"/>
        </w:rPr>
        <w:t>整改措施</w:t>
      </w:r>
    </w:p>
    <w:p>
      <w:pPr>
        <w:adjustRightInd w:val="0"/>
        <w:snapToGrid w:val="0"/>
        <w:spacing w:line="520" w:lineRule="exact"/>
        <w:ind w:firstLine="640" w:firstLineChars="200"/>
        <w:rPr>
          <w:rFonts w:ascii="仿宋_GB2312" w:hAnsi="宋体" w:eastAsia="仿宋_GB2312" w:cs="Times New Roman"/>
          <w:sz w:val="32"/>
          <w:szCs w:val="28"/>
        </w:rPr>
      </w:pPr>
      <w:r>
        <w:rPr>
          <w:rFonts w:hint="eastAsia" w:ascii="楷体_GB2312" w:hAnsi="Times New Roman" w:eastAsia="楷体_GB2312" w:cs="Times New Roman"/>
          <w:sz w:val="32"/>
          <w:szCs w:val="32"/>
        </w:rPr>
        <w:t>（一）修订办公厅预算绩效管理实施细则</w:t>
      </w:r>
    </w:p>
    <w:p>
      <w:pPr>
        <w:spacing w:line="520" w:lineRule="exact"/>
        <w:ind w:firstLine="640" w:firstLineChars="200"/>
        <w:outlineLvl w:val="1"/>
        <w:rPr>
          <w:rFonts w:hint="eastAsia" w:ascii="仿宋_GB2312" w:hAnsi="Times New Roman" w:eastAsia="仿宋_GB2312" w:cs="Times New Roman"/>
          <w:sz w:val="32"/>
          <w:szCs w:val="28"/>
        </w:rPr>
      </w:pPr>
      <w:r>
        <w:rPr>
          <w:rFonts w:hint="eastAsia" w:ascii="仿宋_GB2312" w:hAnsi="仿宋_GB2312" w:eastAsia="仿宋_GB2312" w:cs="仿宋_GB2312"/>
          <w:sz w:val="32"/>
          <w:szCs w:val="32"/>
        </w:rPr>
        <w:t>根据市财政局印发的《北京市预算绩效管理办法和事前绩效评估管理办法》、《北京市市级部门预算绩效运行监控管理办法》、《北京市预算绩效目标管理办法》、《北京市项目支出绩效评价管理办法》等一系列预算绩效管理办法规定，</w:t>
      </w:r>
      <w:r>
        <w:rPr>
          <w:rFonts w:hint="eastAsia" w:ascii="仿宋_GB2312" w:hAnsi="Times New Roman" w:eastAsia="仿宋_GB2312" w:cs="Times New Roman"/>
          <w:sz w:val="32"/>
          <w:szCs w:val="28"/>
        </w:rPr>
        <w:t>财务处计划于今年下半年修订</w:t>
      </w:r>
      <w:r>
        <w:rPr>
          <w:rFonts w:hint="eastAsia" w:ascii="仿宋_GB2312" w:hAnsi="仿宋_GB2312" w:eastAsia="仿宋_GB2312" w:cs="仿宋_GB2312"/>
          <w:sz w:val="32"/>
          <w:szCs w:val="32"/>
        </w:rPr>
        <w:t>《办公厅预算绩效管理实施细则》</w:t>
      </w:r>
      <w:r>
        <w:rPr>
          <w:rFonts w:hint="eastAsia" w:ascii="仿宋_GB2312" w:hAnsi="Times New Roman" w:eastAsia="仿宋_GB2312" w:cs="Times New Roman"/>
          <w:sz w:val="32"/>
          <w:szCs w:val="28"/>
        </w:rPr>
        <w:t>，结合办公厅绩效工作实际，进一步规范绩效目标申报、绩效执行情况跟踪、绩效评价等各个阶段的管理。</w:t>
      </w:r>
      <w:r>
        <w:rPr>
          <w:rFonts w:hint="eastAsia" w:ascii="仿宋_GB2312" w:eastAsia="仿宋_GB2312" w:cs="Times New Roman"/>
          <w:sz w:val="32"/>
          <w:szCs w:val="28"/>
          <w:lang w:eastAsia="zh-CN"/>
        </w:rPr>
        <w:t>加强预算绩效的全流程管理，通过绩效管理推进业务工作进度和支出执行进度</w:t>
      </w:r>
      <w:r>
        <w:rPr>
          <w:rFonts w:hint="eastAsia" w:ascii="仿宋_GB2312" w:hAnsi="Times New Roman" w:eastAsia="仿宋_GB2312" w:cs="Times New Roman"/>
          <w:sz w:val="32"/>
          <w:szCs w:val="28"/>
        </w:rPr>
        <w:t>。</w:t>
      </w:r>
    </w:p>
    <w:p>
      <w:pPr>
        <w:adjustRightInd w:val="0"/>
        <w:snapToGrid w:val="0"/>
        <w:spacing w:line="560" w:lineRule="exact"/>
        <w:ind w:firstLine="640" w:firstLineChars="200"/>
        <w:rPr>
          <w:rFonts w:ascii="楷体" w:hAnsi="楷体" w:eastAsia="楷体"/>
          <w:sz w:val="32"/>
          <w:szCs w:val="28"/>
        </w:rPr>
      </w:pPr>
      <w:r>
        <w:rPr>
          <w:rFonts w:hint="eastAsia" w:ascii="楷体" w:hAnsi="楷体" w:eastAsia="楷体"/>
          <w:sz w:val="32"/>
          <w:szCs w:val="28"/>
        </w:rPr>
        <w:t>（二）进一步加强预算执行阶段的过程监管，及时跟进项目的进展情况</w:t>
      </w:r>
    </w:p>
    <w:p>
      <w:pPr>
        <w:adjustRightInd w:val="0"/>
        <w:snapToGrid w:val="0"/>
        <w:spacing w:line="540" w:lineRule="exact"/>
        <w:ind w:firstLine="642" w:firstLineChars="200"/>
        <w:rPr>
          <w:rFonts w:ascii="仿宋_GB2312" w:hAnsi="宋体" w:eastAsia="仿宋_GB2312"/>
          <w:bCs/>
          <w:sz w:val="32"/>
          <w:szCs w:val="28"/>
        </w:rPr>
      </w:pPr>
      <w:r>
        <w:rPr>
          <w:rFonts w:hint="eastAsia" w:ascii="仿宋_GB2312" w:hAnsi="宋体" w:eastAsia="仿宋_GB2312"/>
          <w:b/>
          <w:bCs/>
          <w:sz w:val="32"/>
          <w:szCs w:val="28"/>
        </w:rPr>
        <w:t>一是</w:t>
      </w:r>
      <w:r>
        <w:rPr>
          <w:rFonts w:hint="eastAsia" w:ascii="仿宋_GB2312" w:hAnsi="宋体" w:eastAsia="仿宋_GB2312"/>
          <w:bCs/>
          <w:sz w:val="32"/>
          <w:szCs w:val="28"/>
        </w:rPr>
        <w:t>进一步强化项目承办处室预算绩效管理的主体责任。项目承办处室根据已制定的绩效目标，及时开展业务工作，按计划启动采购程序，加快项目支出进度，确保绩效目标如期保质保量实现。</w:t>
      </w:r>
    </w:p>
    <w:p>
      <w:pPr>
        <w:adjustRightInd w:val="0"/>
        <w:snapToGrid w:val="0"/>
        <w:spacing w:line="540" w:lineRule="exact"/>
        <w:ind w:firstLine="642" w:firstLineChars="200"/>
        <w:rPr>
          <w:rFonts w:ascii="仿宋_GB2312" w:hAnsi="宋体" w:eastAsia="仿宋_GB2312"/>
          <w:bCs/>
          <w:sz w:val="32"/>
          <w:szCs w:val="28"/>
        </w:rPr>
      </w:pPr>
      <w:r>
        <w:rPr>
          <w:rFonts w:hint="eastAsia" w:ascii="仿宋_GB2312" w:hAnsi="宋体" w:eastAsia="仿宋_GB2312"/>
          <w:b/>
          <w:bCs/>
          <w:sz w:val="32"/>
          <w:szCs w:val="28"/>
        </w:rPr>
        <w:t>二是</w:t>
      </w:r>
      <w:r>
        <w:rPr>
          <w:rFonts w:hint="eastAsia" w:ascii="仿宋_GB2312" w:hAnsi="宋体" w:eastAsia="仿宋_GB2312"/>
          <w:bCs/>
          <w:sz w:val="32"/>
          <w:szCs w:val="28"/>
        </w:rPr>
        <w:t>进一步强化预算绩效管理的组织协调机制。财务处</w:t>
      </w:r>
      <w:r>
        <w:rPr>
          <w:rFonts w:hint="eastAsia" w:ascii="仿宋_GB2312" w:hAnsi="宋体" w:eastAsia="仿宋_GB2312"/>
          <w:bCs/>
          <w:sz w:val="32"/>
          <w:szCs w:val="28"/>
          <w:lang w:eastAsia="zh-CN"/>
        </w:rPr>
        <w:t>通过“点对点”服务，</w:t>
      </w:r>
      <w:r>
        <w:rPr>
          <w:rFonts w:hint="eastAsia" w:ascii="仿宋_GB2312" w:hAnsi="宋体" w:eastAsia="仿宋_GB2312"/>
          <w:bCs/>
          <w:sz w:val="32"/>
          <w:szCs w:val="28"/>
        </w:rPr>
        <w:t>加强与项目承办处室日常沟通，</w:t>
      </w:r>
      <w:r>
        <w:rPr>
          <w:rFonts w:hint="eastAsia" w:ascii="仿宋_GB2312" w:eastAsia="仿宋_GB2312"/>
          <w:sz w:val="32"/>
          <w:szCs w:val="32"/>
        </w:rPr>
        <w:t>按月汇总分析各处室的项目支出执行情况、与预期支出目标的差异情况及当前的工作进度，</w:t>
      </w:r>
      <w:r>
        <w:rPr>
          <w:rFonts w:hint="eastAsia" w:ascii="仿宋_GB2312" w:hAnsi="宋体" w:eastAsia="仿宋_GB2312"/>
          <w:bCs/>
          <w:sz w:val="32"/>
          <w:szCs w:val="28"/>
        </w:rPr>
        <w:t>定期跟踪项目阶段性完成情况，推动支出进度，避免资金沉淀，</w:t>
      </w:r>
      <w:r>
        <w:rPr>
          <w:rFonts w:hint="eastAsia" w:ascii="仿宋_GB2312" w:eastAsia="仿宋_GB2312"/>
          <w:sz w:val="32"/>
          <w:szCs w:val="32"/>
        </w:rPr>
        <w:t>提高财政资金使用效益。</w:t>
      </w:r>
    </w:p>
    <w:p>
      <w:pPr>
        <w:spacing w:line="560" w:lineRule="exact"/>
        <w:rPr>
          <w:rFonts w:ascii="仿宋_GB2312" w:hAnsi="仿宋_GB2312" w:eastAsia="仿宋_GB2312" w:cs="仿宋_GB2312"/>
          <w:sz w:val="32"/>
          <w:szCs w:val="32"/>
        </w:rPr>
      </w:pPr>
    </w:p>
    <w:p>
      <w:pPr>
        <w:spacing w:line="560" w:lineRule="exact"/>
        <w:ind w:firstLine="640" w:firstLineChars="200"/>
        <w:rPr>
          <w:rFonts w:ascii="仿宋_GB2312" w:eastAsia="仿宋_GB2312"/>
          <w:sz w:val="32"/>
          <w:szCs w:val="32"/>
        </w:rPr>
      </w:pPr>
    </w:p>
    <w:sectPr>
      <w:headerReference r:id="rId4" w:type="first"/>
      <w:headerReference r:id="rId3" w:type="default"/>
      <w:footerReference r:id="rId5" w:type="default"/>
      <w:pgSz w:w="11906" w:h="16838"/>
      <w:pgMar w:top="1440" w:right="1800" w:bottom="1440" w:left="1800" w:header="851" w:footer="1134"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default"/>
    <w:sig w:usb0="00000000" w:usb1="00000000" w:usb2="00000010" w:usb3="00000000" w:csb0="00040000" w:csb1="00000000"/>
  </w:font>
  <w:font w:name="等线 Light">
    <w:altName w:val="汉仪中宋简"/>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altName w:val="方正楷体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00"/>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sz w:val="28"/>
        <w:szCs w:val="32"/>
      </w:rPr>
    </w:pPr>
    <w:r>
      <w:rPr>
        <w:sz w:val="2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2232685"/>
                            <w:docPartObj>
                              <w:docPartGallery w:val="autotext"/>
                            </w:docPartObj>
                          </w:sdtPr>
                          <w:sdtEndPr>
                            <w:rPr>
                              <w:rFonts w:ascii="宋体" w:hAnsi="宋体"/>
                              <w:sz w:val="28"/>
                              <w:szCs w:val="32"/>
                            </w:rPr>
                          </w:sdtEndPr>
                          <w:sdtContent>
                            <w:p>
                              <w:pPr>
                                <w:pStyle w:val="6"/>
                                <w:jc w:val="center"/>
                                <w:rPr>
                                  <w:rFonts w:ascii="宋体" w:hAnsi="宋体"/>
                                  <w:sz w:val="28"/>
                                  <w:szCs w:val="32"/>
                                </w:rPr>
                              </w:pPr>
                              <w:r>
                                <w:rPr>
                                  <w:rFonts w:ascii="宋体" w:hAnsi="宋体"/>
                                  <w:sz w:val="28"/>
                                  <w:szCs w:val="32"/>
                                </w:rPr>
                                <w:fldChar w:fldCharType="begin"/>
                              </w:r>
                              <w:r>
                                <w:rPr>
                                  <w:rFonts w:ascii="宋体" w:hAnsi="宋体"/>
                                  <w:sz w:val="28"/>
                                  <w:szCs w:val="32"/>
                                </w:rPr>
                                <w:instrText xml:space="preserve">PAGE   \* MERGEFORMAT</w:instrText>
                              </w:r>
                              <w:r>
                                <w:rPr>
                                  <w:rFonts w:ascii="宋体" w:hAnsi="宋体"/>
                                  <w:sz w:val="28"/>
                                  <w:szCs w:val="32"/>
                                </w:rPr>
                                <w:fldChar w:fldCharType="separate"/>
                              </w:r>
                              <w:r>
                                <w:rPr>
                                  <w:rFonts w:ascii="宋体" w:hAnsi="宋体"/>
                                  <w:sz w:val="28"/>
                                  <w:szCs w:val="32"/>
                                  <w:lang w:val="zh-CN"/>
                                </w:rPr>
                                <w:t>2</w:t>
                              </w:r>
                              <w:r>
                                <w:rPr>
                                  <w:rFonts w:ascii="宋体" w:hAnsi="宋体"/>
                                  <w:sz w:val="28"/>
                                  <w:szCs w:val="32"/>
                                </w:rPr>
                                <w:fldChar w:fldCharType="end"/>
                              </w:r>
                            </w:p>
                          </w:sdtContent>
                        </w:sdt>
                        <w:p>
                          <w:pPr>
                            <w:rPr>
                              <w:rFonts w:ascii="宋体" w:hAnsi="宋体"/>
                              <w:sz w:val="28"/>
                              <w:szCs w:val="32"/>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sdt>
                    <w:sdtPr>
                      <w:id w:val="32232685"/>
                      <w:docPartObj>
                        <w:docPartGallery w:val="autotext"/>
                      </w:docPartObj>
                    </w:sdtPr>
                    <w:sdtEndPr>
                      <w:rPr>
                        <w:rFonts w:ascii="宋体" w:hAnsi="宋体"/>
                        <w:sz w:val="28"/>
                        <w:szCs w:val="32"/>
                      </w:rPr>
                    </w:sdtEndPr>
                    <w:sdtContent>
                      <w:p>
                        <w:pPr>
                          <w:pStyle w:val="6"/>
                          <w:jc w:val="center"/>
                          <w:rPr>
                            <w:rFonts w:ascii="宋体" w:hAnsi="宋体"/>
                            <w:sz w:val="28"/>
                            <w:szCs w:val="32"/>
                          </w:rPr>
                        </w:pPr>
                        <w:r>
                          <w:rPr>
                            <w:rFonts w:ascii="宋体" w:hAnsi="宋体"/>
                            <w:sz w:val="28"/>
                            <w:szCs w:val="32"/>
                          </w:rPr>
                          <w:fldChar w:fldCharType="begin"/>
                        </w:r>
                        <w:r>
                          <w:rPr>
                            <w:rFonts w:ascii="宋体" w:hAnsi="宋体"/>
                            <w:sz w:val="28"/>
                            <w:szCs w:val="32"/>
                          </w:rPr>
                          <w:instrText xml:space="preserve">PAGE   \* MERGEFORMAT</w:instrText>
                        </w:r>
                        <w:r>
                          <w:rPr>
                            <w:rFonts w:ascii="宋体" w:hAnsi="宋体"/>
                            <w:sz w:val="28"/>
                            <w:szCs w:val="32"/>
                          </w:rPr>
                          <w:fldChar w:fldCharType="separate"/>
                        </w:r>
                        <w:r>
                          <w:rPr>
                            <w:rFonts w:ascii="宋体" w:hAnsi="宋体"/>
                            <w:sz w:val="28"/>
                            <w:szCs w:val="32"/>
                            <w:lang w:val="zh-CN"/>
                          </w:rPr>
                          <w:t>2</w:t>
                        </w:r>
                        <w:r>
                          <w:rPr>
                            <w:rFonts w:ascii="宋体" w:hAnsi="宋体"/>
                            <w:sz w:val="28"/>
                            <w:szCs w:val="32"/>
                          </w:rPr>
                          <w:fldChar w:fldCharType="end"/>
                        </w:r>
                      </w:p>
                    </w:sdtContent>
                  </w:sdt>
                  <w:p>
                    <w:pPr>
                      <w:rPr>
                        <w:rFonts w:ascii="宋体" w:hAnsi="宋体"/>
                        <w:sz w:val="28"/>
                        <w:szCs w:val="32"/>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C8F700"/>
    <w:multiLevelType w:val="singleLevel"/>
    <w:tmpl w:val="9FC8F700"/>
    <w:lvl w:ilvl="0" w:tentative="0">
      <w:start w:val="6"/>
      <w:numFmt w:val="chineseCounting"/>
      <w:suff w:val="space"/>
      <w:lvlText w:val="%1、"/>
      <w:lvlJc w:val="left"/>
      <w:rPr>
        <w:rFonts w:hint="eastAsia"/>
      </w:rPr>
    </w:lvl>
  </w:abstractNum>
  <w:abstractNum w:abstractNumId="1">
    <w:nsid w:val="F7FD309D"/>
    <w:multiLevelType w:val="singleLevel"/>
    <w:tmpl w:val="F7FD309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E7A"/>
    <w:rsid w:val="00020EFA"/>
    <w:rsid w:val="0007423E"/>
    <w:rsid w:val="000778B0"/>
    <w:rsid w:val="000A5D66"/>
    <w:rsid w:val="000D5C67"/>
    <w:rsid w:val="00106C0F"/>
    <w:rsid w:val="001416E9"/>
    <w:rsid w:val="001456CC"/>
    <w:rsid w:val="001743CF"/>
    <w:rsid w:val="00174AE2"/>
    <w:rsid w:val="00197EBC"/>
    <w:rsid w:val="001A4B5B"/>
    <w:rsid w:val="00222167"/>
    <w:rsid w:val="0026061E"/>
    <w:rsid w:val="002616A7"/>
    <w:rsid w:val="002A4342"/>
    <w:rsid w:val="002B4800"/>
    <w:rsid w:val="002B5880"/>
    <w:rsid w:val="00302550"/>
    <w:rsid w:val="00303962"/>
    <w:rsid w:val="00312D47"/>
    <w:rsid w:val="00346D29"/>
    <w:rsid w:val="0035152B"/>
    <w:rsid w:val="0036543A"/>
    <w:rsid w:val="003814F5"/>
    <w:rsid w:val="00386E35"/>
    <w:rsid w:val="003A649A"/>
    <w:rsid w:val="003A707A"/>
    <w:rsid w:val="003C5D4D"/>
    <w:rsid w:val="003C5D8E"/>
    <w:rsid w:val="003E1D43"/>
    <w:rsid w:val="003F5D38"/>
    <w:rsid w:val="00431902"/>
    <w:rsid w:val="00490502"/>
    <w:rsid w:val="004A3B27"/>
    <w:rsid w:val="004A4A19"/>
    <w:rsid w:val="004B4B2A"/>
    <w:rsid w:val="004D49A0"/>
    <w:rsid w:val="004E28FC"/>
    <w:rsid w:val="0051624A"/>
    <w:rsid w:val="005200EA"/>
    <w:rsid w:val="00533CFA"/>
    <w:rsid w:val="005549D6"/>
    <w:rsid w:val="0055722F"/>
    <w:rsid w:val="0056779B"/>
    <w:rsid w:val="00574C7E"/>
    <w:rsid w:val="00590B98"/>
    <w:rsid w:val="00595601"/>
    <w:rsid w:val="005E4E7A"/>
    <w:rsid w:val="005F1233"/>
    <w:rsid w:val="005F5D96"/>
    <w:rsid w:val="00611BEF"/>
    <w:rsid w:val="00636EEB"/>
    <w:rsid w:val="0065248B"/>
    <w:rsid w:val="00653533"/>
    <w:rsid w:val="00661759"/>
    <w:rsid w:val="00697DDA"/>
    <w:rsid w:val="006A1489"/>
    <w:rsid w:val="006B5B40"/>
    <w:rsid w:val="006C11B6"/>
    <w:rsid w:val="006D0CB2"/>
    <w:rsid w:val="006D70B8"/>
    <w:rsid w:val="006F291E"/>
    <w:rsid w:val="0073170B"/>
    <w:rsid w:val="007553A4"/>
    <w:rsid w:val="00776C86"/>
    <w:rsid w:val="00785403"/>
    <w:rsid w:val="00786FAF"/>
    <w:rsid w:val="007B4C0D"/>
    <w:rsid w:val="007C44E4"/>
    <w:rsid w:val="007C5323"/>
    <w:rsid w:val="007C586E"/>
    <w:rsid w:val="007E57FD"/>
    <w:rsid w:val="007F0590"/>
    <w:rsid w:val="00806105"/>
    <w:rsid w:val="0081454E"/>
    <w:rsid w:val="008246C1"/>
    <w:rsid w:val="00831CCE"/>
    <w:rsid w:val="00837EF9"/>
    <w:rsid w:val="0088548D"/>
    <w:rsid w:val="00886DD6"/>
    <w:rsid w:val="00896C0C"/>
    <w:rsid w:val="008B7970"/>
    <w:rsid w:val="008F2ABF"/>
    <w:rsid w:val="009006D4"/>
    <w:rsid w:val="009065EA"/>
    <w:rsid w:val="00914963"/>
    <w:rsid w:val="00943BB0"/>
    <w:rsid w:val="009C6083"/>
    <w:rsid w:val="009D218F"/>
    <w:rsid w:val="009F1E27"/>
    <w:rsid w:val="009F4EDC"/>
    <w:rsid w:val="00A11A8E"/>
    <w:rsid w:val="00A173F1"/>
    <w:rsid w:val="00A36E82"/>
    <w:rsid w:val="00A50443"/>
    <w:rsid w:val="00A5618A"/>
    <w:rsid w:val="00A636EE"/>
    <w:rsid w:val="00A84789"/>
    <w:rsid w:val="00A850BB"/>
    <w:rsid w:val="00A852A3"/>
    <w:rsid w:val="00AA0ED4"/>
    <w:rsid w:val="00AB50D1"/>
    <w:rsid w:val="00AC6A48"/>
    <w:rsid w:val="00AD3639"/>
    <w:rsid w:val="00AF3E97"/>
    <w:rsid w:val="00B100F3"/>
    <w:rsid w:val="00B30086"/>
    <w:rsid w:val="00B341E1"/>
    <w:rsid w:val="00B8640F"/>
    <w:rsid w:val="00B9579A"/>
    <w:rsid w:val="00BB4D35"/>
    <w:rsid w:val="00BB4F29"/>
    <w:rsid w:val="00BD1DEA"/>
    <w:rsid w:val="00BD4AB8"/>
    <w:rsid w:val="00BF7479"/>
    <w:rsid w:val="00C065B6"/>
    <w:rsid w:val="00C13A05"/>
    <w:rsid w:val="00C24519"/>
    <w:rsid w:val="00C27F5B"/>
    <w:rsid w:val="00C344C1"/>
    <w:rsid w:val="00C545E6"/>
    <w:rsid w:val="00C55C3B"/>
    <w:rsid w:val="00C73D29"/>
    <w:rsid w:val="00CA39A3"/>
    <w:rsid w:val="00CB2B7C"/>
    <w:rsid w:val="00D0435C"/>
    <w:rsid w:val="00D04F34"/>
    <w:rsid w:val="00D26CA1"/>
    <w:rsid w:val="00D54679"/>
    <w:rsid w:val="00D7598F"/>
    <w:rsid w:val="00DA0DCA"/>
    <w:rsid w:val="00DA4938"/>
    <w:rsid w:val="00DB48A4"/>
    <w:rsid w:val="00DB4F4A"/>
    <w:rsid w:val="00DC246B"/>
    <w:rsid w:val="00DD21E8"/>
    <w:rsid w:val="00DE5F02"/>
    <w:rsid w:val="00DF1E1E"/>
    <w:rsid w:val="00DF37FB"/>
    <w:rsid w:val="00E03FE0"/>
    <w:rsid w:val="00E305F8"/>
    <w:rsid w:val="00E36A51"/>
    <w:rsid w:val="00E763CF"/>
    <w:rsid w:val="00EA586E"/>
    <w:rsid w:val="00EC3931"/>
    <w:rsid w:val="00EC7619"/>
    <w:rsid w:val="00EE5438"/>
    <w:rsid w:val="00F0766E"/>
    <w:rsid w:val="00F151EF"/>
    <w:rsid w:val="00F34B07"/>
    <w:rsid w:val="00F41E4D"/>
    <w:rsid w:val="00F426CD"/>
    <w:rsid w:val="00F82617"/>
    <w:rsid w:val="00FB12BF"/>
    <w:rsid w:val="00FE3C69"/>
    <w:rsid w:val="06351B0C"/>
    <w:rsid w:val="112C520C"/>
    <w:rsid w:val="143759F3"/>
    <w:rsid w:val="150C4363"/>
    <w:rsid w:val="1DE17CBE"/>
    <w:rsid w:val="1E2A19CE"/>
    <w:rsid w:val="25396F5E"/>
    <w:rsid w:val="2F8828BD"/>
    <w:rsid w:val="312F42D2"/>
    <w:rsid w:val="33225768"/>
    <w:rsid w:val="346A91B0"/>
    <w:rsid w:val="49FE32B8"/>
    <w:rsid w:val="4C2473D2"/>
    <w:rsid w:val="5FBD94EF"/>
    <w:rsid w:val="5FEA204E"/>
    <w:rsid w:val="65204FF0"/>
    <w:rsid w:val="67BC0356"/>
    <w:rsid w:val="6EFF5570"/>
    <w:rsid w:val="7E7C397C"/>
    <w:rsid w:val="7FFF87A4"/>
    <w:rsid w:val="8FAFDEA4"/>
    <w:rsid w:val="977F3EC0"/>
    <w:rsid w:val="9F95320E"/>
    <w:rsid w:val="AF3B81D1"/>
    <w:rsid w:val="B53FA32D"/>
    <w:rsid w:val="BA7B23C6"/>
    <w:rsid w:val="BB17AE7F"/>
    <w:rsid w:val="BBB546D1"/>
    <w:rsid w:val="C6F7CA89"/>
    <w:rsid w:val="E7373E05"/>
    <w:rsid w:val="ECFBA385"/>
    <w:rsid w:val="F6DFA459"/>
    <w:rsid w:val="F8DF20B5"/>
    <w:rsid w:val="FE4DC9A4"/>
    <w:rsid w:val="FEEFEEFC"/>
    <w:rsid w:val="FFEFC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0"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unhideWhenUsed/>
    <w:qFormat/>
    <w:uiPriority w:val="0"/>
    <w:pPr>
      <w:jc w:val="left"/>
    </w:pPr>
  </w:style>
  <w:style w:type="paragraph" w:styleId="4">
    <w:name w:val="toc 3"/>
    <w:basedOn w:val="1"/>
    <w:next w:val="1"/>
    <w:unhideWhenUsed/>
    <w:qFormat/>
    <w:uiPriority w:val="39"/>
    <w:pPr>
      <w:ind w:left="840" w:leftChars="400"/>
    </w:pPr>
  </w:style>
  <w:style w:type="paragraph" w:styleId="5">
    <w:name w:val="Balloon Text"/>
    <w:basedOn w:val="1"/>
    <w:link w:val="23"/>
    <w:semiHidden/>
    <w:unhideWhenUsed/>
    <w:qFormat/>
    <w:uiPriority w:val="99"/>
    <w:rPr>
      <w:sz w:val="18"/>
      <w:szCs w:val="18"/>
    </w:rPr>
  </w:style>
  <w:style w:type="paragraph" w:styleId="6">
    <w:name w:val="footer"/>
    <w:basedOn w:val="1"/>
    <w:link w:val="19"/>
    <w:qFormat/>
    <w:uiPriority w:val="99"/>
    <w:pPr>
      <w:tabs>
        <w:tab w:val="center" w:pos="4153"/>
        <w:tab w:val="right" w:pos="8306"/>
      </w:tabs>
      <w:snapToGrid w:val="0"/>
      <w:jc w:val="left"/>
    </w:pPr>
    <w:rPr>
      <w:sz w:val="18"/>
      <w:szCs w:val="20"/>
    </w:rPr>
  </w:style>
  <w:style w:type="paragraph" w:styleId="7">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footnote text"/>
    <w:basedOn w:val="1"/>
    <w:link w:val="26"/>
    <w:semiHidden/>
    <w:unhideWhenUsed/>
    <w:qFormat/>
    <w:uiPriority w:val="99"/>
    <w:pPr>
      <w:snapToGrid w:val="0"/>
      <w:jc w:val="left"/>
    </w:pPr>
    <w:rPr>
      <w:sz w:val="18"/>
      <w:szCs w:val="18"/>
    </w:rPr>
  </w:style>
  <w:style w:type="paragraph" w:styleId="10">
    <w:name w:val="toc 2"/>
    <w:basedOn w:val="1"/>
    <w:next w:val="1"/>
    <w:unhideWhenUsed/>
    <w:qFormat/>
    <w:uiPriority w:val="39"/>
    <w:pPr>
      <w:ind w:left="420" w:leftChars="200"/>
    </w:pPr>
  </w:style>
  <w:style w:type="paragraph" w:styleId="11">
    <w:name w:val="Normal (Web)"/>
    <w:basedOn w:val="1"/>
    <w:semiHidden/>
    <w:unhideWhenUsed/>
    <w:qFormat/>
    <w:uiPriority w:val="99"/>
    <w:pPr>
      <w:spacing w:beforeAutospacing="1" w:afterAutospacing="1"/>
      <w:jc w:val="left"/>
    </w:pPr>
    <w:rPr>
      <w:kern w:val="0"/>
      <w:sz w:val="24"/>
    </w:rPr>
  </w:style>
  <w:style w:type="paragraph" w:styleId="12">
    <w:name w:val="annotation subject"/>
    <w:basedOn w:val="3"/>
    <w:next w:val="3"/>
    <w:link w:val="22"/>
    <w:semiHidden/>
    <w:unhideWhenUsed/>
    <w:qFormat/>
    <w:uiPriority w:val="99"/>
    <w:rPr>
      <w:b/>
      <w:bCs/>
    </w:rPr>
  </w:style>
  <w:style w:type="table" w:styleId="14">
    <w:name w:val="Table Grid"/>
    <w:basedOn w:val="13"/>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annotation reference"/>
    <w:basedOn w:val="15"/>
    <w:unhideWhenUsed/>
    <w:qFormat/>
    <w:uiPriority w:val="0"/>
    <w:rPr>
      <w:sz w:val="21"/>
      <w:szCs w:val="21"/>
    </w:rPr>
  </w:style>
  <w:style w:type="character" w:styleId="18">
    <w:name w:val="footnote reference"/>
    <w:basedOn w:val="15"/>
    <w:semiHidden/>
    <w:unhideWhenUsed/>
    <w:qFormat/>
    <w:uiPriority w:val="99"/>
    <w:rPr>
      <w:vertAlign w:val="superscript"/>
    </w:rPr>
  </w:style>
  <w:style w:type="character" w:customStyle="1" w:styleId="19">
    <w:name w:val="页脚 字符"/>
    <w:basedOn w:val="15"/>
    <w:link w:val="6"/>
    <w:qFormat/>
    <w:uiPriority w:val="99"/>
    <w:rPr>
      <w:rFonts w:ascii="Times New Roman" w:hAnsi="Times New Roman" w:eastAsia="宋体" w:cs="Times New Roman"/>
      <w:sz w:val="18"/>
      <w:szCs w:val="20"/>
    </w:rPr>
  </w:style>
  <w:style w:type="character" w:customStyle="1" w:styleId="20">
    <w:name w:val="页眉 字符"/>
    <w:basedOn w:val="15"/>
    <w:link w:val="7"/>
    <w:qFormat/>
    <w:uiPriority w:val="99"/>
    <w:rPr>
      <w:rFonts w:ascii="Times New Roman" w:hAnsi="Times New Roman" w:eastAsia="宋体" w:cs="Times New Roman"/>
      <w:sz w:val="18"/>
      <w:szCs w:val="18"/>
    </w:rPr>
  </w:style>
  <w:style w:type="character" w:customStyle="1" w:styleId="21">
    <w:name w:val="批注文字 字符"/>
    <w:basedOn w:val="15"/>
    <w:link w:val="3"/>
    <w:qFormat/>
    <w:uiPriority w:val="0"/>
    <w:rPr>
      <w:rFonts w:ascii="Times New Roman" w:hAnsi="Times New Roman" w:eastAsia="宋体" w:cs="Times New Roman"/>
      <w:szCs w:val="24"/>
    </w:rPr>
  </w:style>
  <w:style w:type="character" w:customStyle="1" w:styleId="22">
    <w:name w:val="批注主题 字符"/>
    <w:basedOn w:val="21"/>
    <w:link w:val="12"/>
    <w:semiHidden/>
    <w:qFormat/>
    <w:uiPriority w:val="99"/>
    <w:rPr>
      <w:rFonts w:ascii="Times New Roman" w:hAnsi="Times New Roman" w:eastAsia="宋体" w:cs="Times New Roman"/>
      <w:b/>
      <w:bCs/>
      <w:szCs w:val="24"/>
    </w:rPr>
  </w:style>
  <w:style w:type="character" w:customStyle="1" w:styleId="23">
    <w:name w:val="批注框文本 字符"/>
    <w:basedOn w:val="15"/>
    <w:link w:val="5"/>
    <w:semiHidden/>
    <w:qFormat/>
    <w:uiPriority w:val="99"/>
    <w:rPr>
      <w:rFonts w:ascii="Times New Roman" w:hAnsi="Times New Roman" w:eastAsia="宋体" w:cs="Times New Roman"/>
      <w:sz w:val="18"/>
      <w:szCs w:val="18"/>
    </w:rPr>
  </w:style>
  <w:style w:type="character" w:customStyle="1" w:styleId="24">
    <w:name w:val="批注文字 Char"/>
    <w:qFormat/>
    <w:uiPriority w:val="0"/>
    <w:rPr>
      <w:rFonts w:eastAsia="仿宋_GB2312"/>
      <w:kern w:val="2"/>
      <w:sz w:val="30"/>
      <w:szCs w:val="24"/>
    </w:rPr>
  </w:style>
  <w:style w:type="paragraph" w:customStyle="1" w:styleId="25">
    <w:name w:val="仿宋三号"/>
    <w:basedOn w:val="1"/>
    <w:qFormat/>
    <w:uiPriority w:val="0"/>
    <w:pPr>
      <w:spacing w:line="560" w:lineRule="exact"/>
      <w:ind w:firstLine="640" w:firstLineChars="200"/>
    </w:pPr>
    <w:rPr>
      <w:rFonts w:ascii="仿宋_GB2312" w:hAnsi="Calibri" w:eastAsia="仿宋_GB2312"/>
      <w:sz w:val="36"/>
      <w:szCs w:val="32"/>
    </w:rPr>
  </w:style>
  <w:style w:type="character" w:customStyle="1" w:styleId="26">
    <w:name w:val="脚注文本 字符"/>
    <w:basedOn w:val="15"/>
    <w:link w:val="9"/>
    <w:semiHidden/>
    <w:qFormat/>
    <w:uiPriority w:val="99"/>
    <w:rPr>
      <w:kern w:val="2"/>
      <w:sz w:val="18"/>
      <w:szCs w:val="18"/>
    </w:rPr>
  </w:style>
  <w:style w:type="character" w:customStyle="1" w:styleId="27">
    <w:name w:val="标题 1 字符"/>
    <w:basedOn w:val="15"/>
    <w:link w:val="2"/>
    <w:qFormat/>
    <w:uiPriority w:val="9"/>
    <w:rPr>
      <w:b/>
      <w:bCs/>
      <w:kern w:val="44"/>
      <w:sz w:val="44"/>
      <w:szCs w:val="44"/>
    </w:rPr>
  </w:style>
  <w:style w:type="paragraph" w:customStyle="1" w:styleId="2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9648</Words>
  <Characters>1343</Characters>
  <Lines>11</Lines>
  <Paragraphs>21</Paragraphs>
  <TotalTime>16</TotalTime>
  <ScaleCrop>false</ScaleCrop>
  <LinksUpToDate>false</LinksUpToDate>
  <CharactersWithSpaces>10970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2022-05-16T19:21:00Z</dcterms:created>
  <dc:creator>Administrator</dc:creator>
  <cp:lastModifiedBy>administrator</cp:lastModifiedBy>
  <cp:lastPrinted>2022-05-21T02:24:00Z</cp:lastPrinted>
  <dcterms:modified xsi:type="dcterms:W3CDTF">2022-08-18T18:34:01Z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F8691CE24A6742D7BE4076498F636B78</vt:lpwstr>
  </property>
</Properties>
</file>