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>
        <mc:AlternateContent>
          <mc:Choice Requires="wps">
            <w:drawing>
              <wp:anchor distT="0" distB="0" distL="0" distR="0" simplePos="0" relativeHeight="125829378" behindDoc="0" locked="0" layoutInCell="1" allowOverlap="1">
                <wp:simplePos x="0" y="0"/>
                <wp:positionH relativeFrom="page">
                  <wp:posOffset>1053465</wp:posOffset>
                </wp:positionH>
                <wp:positionV relativeFrom="paragraph">
                  <wp:posOffset>3127375</wp:posOffset>
                </wp:positionV>
                <wp:extent cx="128270" cy="902335"/>
                <wp:wrapSquare wrapText="bothSides"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270" cy="90233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年度总体目标</w:t>
                            </w:r>
                          </w:p>
                        </w:txbxContent>
                      </wps:txbx>
                      <wps:bodyPr upright="1" vert="eaVer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82.950000000000003pt;margin-top:246.25pt;width:10.1pt;height:71.049999999999997pt;z-index:-125829375;mso-wrap-distance-left:0;mso-wrap-distance-right:0;mso-position-horizontal-relative:page" filled="f" stroked="f">
                <v:textbox style="layout-flow:vertical-ideographic"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spacing w:val="0"/>
                          <w:w w:val="100"/>
                          <w:position w:val="0"/>
                        </w:rPr>
                        <w:t>年度总体目标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>
      <w:pPr>
        <w:pStyle w:val="Style16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spacing w:val="0"/>
          <w:w w:val="100"/>
          <w:position w:val="0"/>
        </w:rPr>
        <w:t>项目支出绩效自评表</w:t>
      </w:r>
      <w:bookmarkEnd w:id="0"/>
      <w:bookmarkEnd w:id="1"/>
      <w:bookmarkEnd w:id="2"/>
    </w:p>
    <w:p>
      <w:pPr>
        <w:pStyle w:val="Style1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spacing w:val="0"/>
          <w:w w:val="100"/>
          <w:position w:val="0"/>
        </w:rPr>
        <w:t>（</w:t>
      </w:r>
      <w:r>
        <w:rPr>
          <w:rFonts w:ascii="Times New Roman" w:eastAsia="Times New Roman" w:hAnsi="Times New Roman" w:cs="Times New Roman"/>
          <w:spacing w:val="0"/>
          <w:w w:val="100"/>
          <w:position w:val="0"/>
        </w:rPr>
        <w:t>2020</w:t>
      </w:r>
      <w:r>
        <w:rPr>
          <w:spacing w:val="0"/>
          <w:w w:val="100"/>
          <w:position w:val="0"/>
        </w:rPr>
        <w:t>年度）</w:t>
      </w:r>
      <w:bookmarkEnd w:id="3"/>
      <w:bookmarkEnd w:id="4"/>
      <w:bookmarkEnd w:id="5"/>
    </w:p>
    <w:tbl>
      <w:tblPr>
        <w:tblOverlap w:val="never"/>
        <w:jc w:val="left"/>
        <w:tblLayout w:type="fixed"/>
      </w:tblPr>
      <w:tblGrid>
        <w:gridCol w:w="1570"/>
        <w:gridCol w:w="1824"/>
        <w:gridCol w:w="1123"/>
        <w:gridCol w:w="1138"/>
        <w:gridCol w:w="1118"/>
        <w:gridCol w:w="701"/>
        <w:gridCol w:w="850"/>
        <w:gridCol w:w="720"/>
      </w:tblGrid>
      <w:tr>
        <w:trPr>
          <w:trHeight w:val="403" w:hRule="exact"/>
        </w:trPr>
        <w:tc>
          <w:tcPr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4"/>
            <w:tcBorders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3060" w:right="0" w:firstLine="0"/>
              <w:jc w:val="left"/>
            </w:pPr>
            <w:r>
              <w:rPr>
                <w:spacing w:val="0"/>
                <w:w w:val="100"/>
                <w:position w:val="0"/>
              </w:rPr>
              <w:t>水务机动经费</w:t>
            </w:r>
          </w:p>
        </w:tc>
        <w:tc>
          <w:tcPr>
            <w:gridSpan w:val="3"/>
            <w:tcBorders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655B6A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655B6A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spacing w:val="0"/>
                <w:w w:val="100"/>
                <w:position w:val="0"/>
              </w:rPr>
              <w:t>实</w:t>
            </w:r>
            <w:r>
              <w:rPr>
                <w:color w:val="AC4B5A"/>
                <w:spacing w:val="0"/>
                <w:w w:val="100"/>
                <w:position w:val="0"/>
              </w:rPr>
              <w:t>施单俨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3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655B6A"/>
                <w:spacing w:val="0"/>
                <w:w w:val="100"/>
                <w:position w:val="0"/>
              </w:rPr>
              <w:t>樊为国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color w:val="655B6A"/>
                <w:spacing w:val="0"/>
                <w:w w:val="100"/>
                <w:position w:val="0"/>
              </w:rPr>
              <w:t>联</w:t>
            </w:r>
            <w:r>
              <w:rPr>
                <w:color w:val="AC4B5A"/>
                <w:spacing w:val="0"/>
                <w:w w:val="100"/>
                <w:position w:val="0"/>
                <w:lang w:val="zh-CN" w:eastAsia="zh-CN" w:bidi="zh-CN"/>
              </w:rPr>
              <w:t>系电底</w:t>
            </w:r>
          </w:p>
        </w:tc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tabs>
                <w:tab w:pos="490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color w:val="AC4B5A"/>
                <w:spacing w:val="0"/>
                <w:w w:val="80"/>
                <w:position w:val="0"/>
              </w:rPr>
              <w:t>&gt;</w:t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AC4B5A"/>
                <w:spacing w:val="0"/>
                <w:w w:val="80"/>
                <w:position w:val="0"/>
                <w:lang w:val="en-US" w:eastAsia="en-US" w:bidi="en-US"/>
              </w:rPr>
              <w:t>35569&amp;X</w:t>
            </w:r>
          </w:p>
        </w:tc>
      </w:tr>
      <w:tr>
        <w:trPr>
          <w:trHeight w:val="56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项目资'容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（万元）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color w:val="655B6A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50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全年预 算数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全</w:t>
            </w:r>
            <w:r>
              <w:rPr>
                <w:color w:val="AC4B5A"/>
                <w:spacing w:val="0"/>
                <w:w w:val="100"/>
                <w:position w:val="0"/>
                <w:lang w:val="en-US" w:eastAsia="en-US" w:bidi="en-US"/>
              </w:rPr>
              <w:t>T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执行</w:t>
            </w:r>
            <w:r>
              <w:rPr>
                <w:rFonts w:ascii="Times New Roman" w:eastAsia="Times New Roman" w:hAnsi="Times New Roman" w:cs="Times New Roman"/>
                <w:b/>
                <w:bCs/>
                <w:color w:val="AC4B5A"/>
                <w:spacing w:val="0"/>
                <w:w w:val="80"/>
                <w:position w:val="0"/>
                <w:lang w:val="en-US" w:eastAsia="en-US" w:bidi="en-US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CC687F"/>
                <w:spacing w:val="0"/>
                <w:w w:val="80"/>
                <w:position w:val="0"/>
              </w:rPr>
              <w:t>,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-60" w:right="0" w:firstLine="0"/>
              <w:jc w:val="center"/>
              <w:rPr>
                <w:sz w:val="68"/>
                <w:szCs w:val="68"/>
              </w:rPr>
            </w:pPr>
            <w:r>
              <w:rPr>
                <w:i/>
                <w:iCs/>
                <w:color w:val="CC687F"/>
                <w:spacing w:val="0"/>
                <w:w w:val="100"/>
                <w:position w:val="0"/>
                <w:sz w:val="68"/>
                <w:szCs w:val="68"/>
              </w:rPr>
              <w:t>%</w:t>
            </w:r>
            <w:r>
              <w:rPr>
                <w:i/>
                <w:iCs/>
                <w:color w:val="AC4B5A"/>
                <w:spacing w:val="0"/>
                <w:w w:val="100"/>
                <w:position w:val="0"/>
                <w:sz w:val="68"/>
                <w:szCs w:val="68"/>
              </w:rPr>
              <w:t>戒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AC4B5A"/>
                <w:spacing w:val="0"/>
                <w:w w:val="100"/>
                <w:position w:val="0"/>
              </w:rPr>
              <w:t>丿分</w:t>
            </w:r>
          </w:p>
        </w:tc>
      </w:tr>
      <w:tr>
        <w:trPr>
          <w:trHeight w:val="461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9043" w:h="3523" w:vSpace="403" w:wrap="notBeside" w:vAnchor="text" w:hAnchor="text" w:x="6" w:y="1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8023. 479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833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2584.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259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948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 xml:space="preserve">2462.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C4B5A"/>
                <w:spacing w:val="0"/>
                <w:w w:val="80"/>
                <w:position w:val="0"/>
              </w:rPr>
              <w:t>5^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86"/>
                <w:szCs w:val="8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sz w:val="20"/>
                <w:szCs w:val="20"/>
              </w:rPr>
              <w:t>948</w:t>
            </w:r>
            <w:r>
              <w:rPr>
                <w:color w:val="AC4B5A"/>
                <w:spacing w:val="0"/>
                <w:w w:val="100"/>
                <w:position w:val="0"/>
                <w:sz w:val="86"/>
                <w:szCs w:val="86"/>
              </w:rPr>
              <w:t>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color w:val="AC4B5A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AC4B5A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9.5</w:t>
            </w:r>
          </w:p>
        </w:tc>
      </w:tr>
      <w:tr>
        <w:trPr>
          <w:trHeight w:val="61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9043" w:h="3523" w:vSpace="403" w:wrap="notBeside" w:vAnchor="text" w:hAnchor="text" w:x="6" w:y="1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54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8023. 479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833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2584.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259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948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2462.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597</w:t>
            </w:r>
          </w:p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948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>
              <w:framePr w:w="9043" w:h="3523" w:vSpace="403" w:wrap="notBeside" w:vAnchor="text" w:hAnchor="text" w:x="6" w:y="1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35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上年结转 资金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一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color w:val="655B6A"/>
                <w:spacing w:val="0"/>
                <w:w w:val="100"/>
                <w:position w:val="0"/>
              </w:rPr>
              <w:t>一</w:t>
            </w:r>
          </w:p>
        </w:tc>
      </w:tr>
      <w:tr>
        <w:trPr>
          <w:trHeight w:val="317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9043" w:h="3523" w:vSpace="403" w:wrap="notBeside" w:vAnchor="text" w:hAnchor="text" w:x="6" w:y="1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80"/>
              <w:jc w:val="left"/>
            </w:pPr>
            <w:r>
              <w:rPr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一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9043" w:h="3523" w:vSpace="403" w:wrap="notBeside" w:vAnchor="text" w:hAnchor="text" w:x="6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framePr w:w="9043" w:h="3523" w:vSpace="403" w:wrap="notBeside" w:vAnchor="text" w:hAnchor="text" w:x="6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spacing w:val="0"/>
                <w:w w:val="100"/>
                <w:position w:val="0"/>
              </w:rPr>
              <w:t>一</w:t>
            </w:r>
          </w:p>
        </w:tc>
      </w:tr>
    </w:tbl>
    <w:p>
      <w:pPr>
        <w:pStyle w:val="Style13"/>
        <w:keepNext w:val="0"/>
        <w:keepLines w:val="0"/>
        <w:framePr w:w="5299" w:h="278" w:hSpace="5" w:wrap="notBeside" w:vAnchor="text" w:hAnchor="text" w:x="2708" w:y="3649"/>
        <w:widowControl w:val="0"/>
        <w:shd w:val="clear" w:color="auto" w:fill="auto"/>
        <w:tabs>
          <w:tab w:pos="3941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</w:rPr>
        <w:t>预期目标</w:t>
        <w:tab/>
        <w:t>实际完成情况</w:t>
      </w:r>
    </w:p>
    <w:p>
      <w:pPr>
        <w:widowControl w:val="0"/>
        <w:spacing w:line="1" w:lineRule="exact"/>
      </w:pP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200" w:line="234" w:lineRule="exact"/>
        <w:ind w:left="28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80" behindDoc="0" locked="0" layoutInCell="1" allowOverlap="1">
                <wp:simplePos x="0" y="0"/>
                <wp:positionH relativeFrom="page">
                  <wp:posOffset>4570730</wp:posOffset>
                </wp:positionH>
                <wp:positionV relativeFrom="margin">
                  <wp:posOffset>3279775</wp:posOffset>
                </wp:positionV>
                <wp:extent cx="2030095" cy="932815"/>
                <wp:wrapSquare wrapText="left"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030095" cy="932815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8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解决了中央及市委、市政府确定的</w:t>
                              <w:br/>
                              <w:t>新增、临时、紧急项目，编制内增</w:t>
                              <w:br/>
                              <w:t>沈人员的亙本殳出，以及麦双未单</w:t>
                              <w:br/>
                              <w:t>位在职及离休、退休人员死亡一次</w:t>
                              <w:br/>
                              <w:t>性抚恤金等，保障了工作的正常开</w:t>
                              <w:br/>
                              <w:t>展.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359.90000000000003pt;margin-top:258.25pt;width:159.84999999999999pt;height:73.450000000000003pt;z-index:-125829373;mso-wrap-distance-left:9.pt;mso-wrap-distance-right:9.pt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38" w:lineRule="exact"/>
                        <w:ind w:left="0" w:right="0" w:firstLine="0"/>
                        <w:jc w:val="center"/>
                      </w:pPr>
                      <w:r>
                        <w:rPr>
                          <w:spacing w:val="0"/>
                          <w:w w:val="100"/>
                          <w:position w:val="0"/>
                        </w:rPr>
                        <w:t>解决了中央及市委、市政府确定的</w:t>
                        <w:br/>
                        <w:t>新增、临时、紧急项目，编制内增</w:t>
                        <w:br/>
                        <w:t>沈人员的亙本殳出，以及麦双未单</w:t>
                        <w:br/>
                        <w:t>位在职及离休、退休人员死亡一次</w:t>
                        <w:br/>
                        <w:t>性抚恤金等，保障了工作的正常开</w:t>
                        <w:br/>
                        <w:t>展.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1985010" distB="1935480" distL="114300" distR="5600700" simplePos="0" relativeHeight="125829382" behindDoc="0" locked="0" layoutInCell="1" allowOverlap="1">
                <wp:simplePos x="0" y="0"/>
                <wp:positionH relativeFrom="page">
                  <wp:posOffset>1053465</wp:posOffset>
                </wp:positionH>
                <wp:positionV relativeFrom="margin">
                  <wp:posOffset>6144895</wp:posOffset>
                </wp:positionV>
                <wp:extent cx="128270" cy="603250"/>
                <wp:wrapTopAndBottom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128270" cy="60325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绩效指标</w:t>
                            </w:r>
                          </w:p>
                        </w:txbxContent>
                      </wps:txbx>
                      <wps:bodyPr upright="1" vert="eaVer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82.950000000000003pt;margin-top:483.85000000000002pt;width:10.1pt;height:47.5pt;z-index:-125829371;mso-wrap-distance-left:9.pt;mso-wrap-distance-top:156.30000000000001pt;mso-wrap-distance-right:441.pt;mso-wrap-distance-bottom:152.40000000000001pt;mso-position-horizontal-relative:page;mso-position-vertical-relative:margin" filled="f" stroked="f">
                <v:textbox style="layout-flow:vertical-ideographic"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spacing w:val="0"/>
                          <w:w w:val="100"/>
                          <w:position w:val="0"/>
                        </w:rPr>
                        <w:t>绩效指标</w:t>
                      </w: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88900" distB="0" distL="982980" distR="114300" simplePos="0" relativeHeight="125829384" behindDoc="0" locked="0" layoutInCell="1" allowOverlap="1">
                <wp:simplePos x="0" y="0"/>
                <wp:positionH relativeFrom="page">
                  <wp:posOffset>1922145</wp:posOffset>
                </wp:positionH>
                <wp:positionV relativeFrom="margin">
                  <wp:posOffset>4248785</wp:posOffset>
                </wp:positionV>
                <wp:extent cx="4745990" cy="4434840"/>
                <wp:wrapTopAndBottom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745990" cy="4434840"/>
                        </a:xfrm>
                        <a:prstGeom prst="rect"/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jc w:val="left"/>
                              <w:tblLayout w:type="fixed"/>
                            </w:tblPr>
                            <w:tblGrid>
                              <w:gridCol w:w="1104"/>
                              <w:gridCol w:w="2131"/>
                              <w:gridCol w:w="840"/>
                              <w:gridCol w:w="854"/>
                              <w:gridCol w:w="653"/>
                              <w:gridCol w:w="648"/>
                              <w:gridCol w:w="1243"/>
                            </w:tblGrid>
                            <w:tr>
                              <w:trPr>
                                <w:tblHeader/>
                                <w:trHeight w:val="840" w:hRule="exact"/>
                              </w:trPr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373D7D"/>
                                      <w:spacing w:val="0"/>
                                      <w:w w:val="100"/>
                                      <w:position w:val="0"/>
                                    </w:rPr>
                                    <w:t>二</w:t>
                                  </w:r>
                                  <w:r>
                                    <w:rPr>
                                      <w:color w:val="2F2E33"/>
                                      <w:spacing w:val="0"/>
                                      <w:w w:val="100"/>
                                      <w:position w:val="0"/>
                                    </w:rPr>
                                    <w:t>级指标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三级指标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年度 指标值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5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实际 完戒值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得分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righ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5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偏差原因 分析及改 进箱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  <w:lang w:val="zh-CN" w:eastAsia="zh-CN" w:bidi="zh-CN"/>
                                    </w:rPr>
                                    <w:t>■就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915" w:hRule="exact"/>
                              </w:trPr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数量指标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tabs>
                                      <w:tab w:pos="312" w:val="left"/>
                                    </w:tabs>
                                    <w:bidi w:val="0"/>
                                    <w:spacing w:before="0" w:after="0" w:line="241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  <w:lang w:val="en-US" w:eastAsia="en-US" w:bidi="en-US"/>
                                    </w:rPr>
                                    <w:t>1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  <w:lang w:val="en-US" w:eastAsia="en-US" w:bidi="en-US"/>
                                    </w:rPr>
                                    <w:t>、</w:t>
                                    <w:tab/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解决中央及市委、 市政府确定的新增、 临时、紧急项目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tabs>
                                      <w:tab w:pos="250" w:val="left"/>
                                    </w:tabs>
                                    <w:bidi w:val="0"/>
                                    <w:spacing w:before="0" w:after="0" w:line="241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、</w:t>
                                    <w:tab/>
                                    <w:t>编制内增加人员的 基未殳出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tabs>
                                      <w:tab w:pos="230" w:val="left"/>
                                    </w:tabs>
                                    <w:bidi w:val="0"/>
                                    <w:spacing w:before="0" w:after="0" w:line="241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3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、</w:t>
                                    <w:tab/>
                                    <w:t>发放本单位在职及 离休、退休人员死亡 -次性抚恤金等。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完成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完成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righ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493" w:hRule="exact"/>
                              </w:trPr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质量指标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7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经费使用符合《北京 市市级项目支出预算 管理办法》的要求，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7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符合市财政机动经费 使用管理的要求.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符合要 求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5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符合要 求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2F2E33"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righ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032" w:hRule="exact"/>
                              </w:trPr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时效指标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0" w:lineRule="exact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项目执行期间为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 xml:space="preserve">2020 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月至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月。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按时完 成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按时完 成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right w:val="single" w:sz="4"/>
                                  </w:tcBorders>
                                  <w:shd w:val="clear" w:color="auto" w:fill="FFFFFF"/>
                                  <w:vAlign w:val="top"/>
                                </w:tcPr>
                                <w:p>
                                  <w:pPr>
                                    <w:widowControl w:val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704" w:hRule="exact"/>
                              </w:trPr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bottom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成本指标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预算控制总数为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23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  <w:lang w:val="en-US" w:eastAsia="en-US" w:bidi="en-US"/>
                                    </w:rPr>
                                    <w:t xml:space="preserve">2584.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 xml:space="preserve">259948 </w:t>
                                  </w:r>
                                  <w:r>
                                    <w:rPr>
                                      <w:spacing w:val="0"/>
                                      <w:w w:val="100"/>
                                      <w:position w:val="0"/>
                                    </w:rPr>
                                    <w:t>万元。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  <w:lang w:val="en-US" w:eastAsia="en-US" w:bidi="en-US"/>
                                    </w:rPr>
                                    <w:t>2584.2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59948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  <w:lang w:val="en-US" w:eastAsia="en-US" w:bidi="en-US"/>
                                    </w:rPr>
                                    <w:t>2462.5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97948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40" w:lineRule="auto"/>
                                    <w:ind w:left="0" w:right="0" w:firstLine="220"/>
                                    <w:jc w:val="left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pacing w:val="0"/>
                                      <w:w w:val="80"/>
                                      <w:position w:val="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Borders>
                                    <w:top w:val="single" w:sz="4"/>
                                    <w:left w:val="single" w:sz="4"/>
                                    <w:bottom w:val="single" w:sz="4"/>
                                    <w:right w:val="single" w:sz="4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8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655B6A"/>
                                      <w:spacing w:val="0"/>
                                      <w:w w:val="100"/>
                                      <w:position w:val="0"/>
                                    </w:rPr>
                                    <w:t>年中调整 较多</w:t>
                                  </w:r>
                                  <w:r>
                                    <w:rPr>
                                      <w:color w:val="2F2E33"/>
                                      <w:spacing w:val="0"/>
                                      <w:w w:val="100"/>
                                      <w:position w:val="0"/>
                                    </w:rPr>
                                    <w:t>，</w:t>
                                  </w:r>
                                  <w:r>
                                    <w:rPr>
                                      <w:color w:val="655B6A"/>
                                      <w:spacing w:val="0"/>
                                      <w:w w:val="100"/>
                                      <w:position w:val="0"/>
                                    </w:rPr>
                                    <w:t>裏高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8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655B6A"/>
                                      <w:spacing w:val="0"/>
                                      <w:w w:val="100"/>
                                      <w:position w:val="0"/>
                                    </w:rPr>
                                    <w:t>预算编制 精准度，减</w:t>
                                  </w:r>
                                </w:p>
                                <w:p>
                                  <w:pPr>
                                    <w:pStyle w:val="Style6"/>
                                    <w:keepNext w:val="0"/>
                                    <w:keepLines w:val="0"/>
                                    <w:widowControl w:val="0"/>
                                    <w:shd w:val="clear" w:color="auto" w:fill="auto"/>
                                    <w:bidi w:val="0"/>
                                    <w:spacing w:before="0" w:after="0" w:line="238" w:lineRule="exact"/>
                                    <w:ind w:left="0" w:right="0" w:firstLine="0"/>
                                    <w:jc w:val="center"/>
                                  </w:pPr>
                                  <w:r>
                                    <w:rPr>
                                      <w:color w:val="655B6A"/>
                                      <w:spacing w:val="0"/>
                                      <w:w w:val="100"/>
                                      <w:position w:val="0"/>
                                    </w:rPr>
                                    <w:t>少预算调 整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widowControl w:val="0"/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151.34999999999999pt;margin-top:334.55000000000001pt;width:373.69999999999999pt;height:349.19999999999999pt;z-index:-125829369;mso-wrap-distance-left:77.400000000000006pt;mso-wrap-distance-top:7.pt;mso-wrap-distance-right:9.pt;mso-position-horizontal-relative:page;mso-position-vertical-relative:margin" filled="f" stroked="f">
                <v:textbox inset="0,0,0,0">
                  <w:txbxContent>
                    <w:tbl>
                      <w:tblPr>
                        <w:tblOverlap w:val="never"/>
                        <w:jc w:val="left"/>
                        <w:tblLayout w:type="fixed"/>
                      </w:tblPr>
                      <w:tblGrid>
                        <w:gridCol w:w="1104"/>
                        <w:gridCol w:w="2131"/>
                        <w:gridCol w:w="840"/>
                        <w:gridCol w:w="854"/>
                        <w:gridCol w:w="653"/>
                        <w:gridCol w:w="648"/>
                        <w:gridCol w:w="1243"/>
                      </w:tblGrid>
                      <w:tr>
                        <w:trPr>
                          <w:tblHeader/>
                          <w:trHeight w:val="840" w:hRule="exact"/>
                        </w:trPr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373D7D"/>
                                <w:spacing w:val="0"/>
                                <w:w w:val="100"/>
                                <w:position w:val="0"/>
                              </w:rPr>
                              <w:t>二</w:t>
                            </w:r>
                            <w:r>
                              <w:rPr>
                                <w:color w:val="2F2E33"/>
                                <w:spacing w:val="0"/>
                                <w:w w:val="100"/>
                                <w:position w:val="0"/>
                              </w:rPr>
                              <w:t>级指标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三级指标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年度 指标值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5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实际 完戒值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分值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得分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  <w:righ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5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偏差原因 分析及改 进箱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  <w:lang w:val="zh-CN" w:eastAsia="zh-CN" w:bidi="zh-CN"/>
                              </w:rPr>
                              <w:t>■就</w:t>
                            </w:r>
                          </w:p>
                        </w:tc>
                      </w:tr>
                      <w:tr>
                        <w:trPr>
                          <w:trHeight w:val="1915" w:hRule="exact"/>
                        </w:trPr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数量指标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bottom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312" w:val="left"/>
                              </w:tabs>
                              <w:bidi w:val="0"/>
                              <w:spacing w:before="0" w:after="0" w:line="241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  <w:lang w:val="en-US" w:eastAsia="en-US" w:bidi="en-US"/>
                              </w:rPr>
                              <w:t>1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  <w:lang w:val="en-US" w:eastAsia="en-US" w:bidi="en-US"/>
                              </w:rPr>
                              <w:t>、</w:t>
                              <w:tab/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解决中央及市委、 市政府确定的新增、 临时、紧急项目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250" w:val="left"/>
                              </w:tabs>
                              <w:bidi w:val="0"/>
                              <w:spacing w:before="0" w:after="0" w:line="241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2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、</w:t>
                              <w:tab/>
                              <w:t>编制内增加人员的 基未殳出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pos="230" w:val="left"/>
                              </w:tabs>
                              <w:bidi w:val="0"/>
                              <w:spacing w:before="0" w:after="0" w:line="241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3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、</w:t>
                              <w:tab/>
                              <w:t>发放本单位在职及 离休、退休人员死亡 -次性抚恤金等。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完成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完成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  <w:righ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493" w:hRule="exact"/>
                        </w:trPr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质量指标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7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经费使用符合《北京 市市级项目支出预算 管理办法》的要求，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7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符合市财政机动经费 使用管理的要求.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符合要 求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5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符合要 求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F2E33"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  <w:righ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032" w:hRule="exact"/>
                        </w:trPr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时效指标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0" w:lineRule="exact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项目执行期间为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 xml:space="preserve">2020 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月至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12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月。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按时完 成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按时完 成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  <w:right w:val="single" w:sz="4"/>
                            </w:tcBorders>
                            <w:shd w:val="clear" w:color="auto" w:fill="FFFFFF"/>
                            <w:vAlign w:val="top"/>
                          </w:tcPr>
                          <w:p>
                            <w:pPr>
                              <w:widowControl w:val="0"/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704" w:hRule="exact"/>
                        </w:trPr>
                        <w:tc>
                          <w:tcPr>
                            <w:tcBorders>
                              <w:top w:val="single" w:sz="4"/>
                              <w:left w:val="single" w:sz="4"/>
                              <w:bottom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成本指标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预算控制总数为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23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  <w:lang w:val="en-US" w:eastAsia="en-US" w:bidi="en-US"/>
                              </w:rPr>
                              <w:t xml:space="preserve">2584.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 xml:space="preserve">259948 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万元。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  <w:lang w:val="en-US" w:eastAsia="en-US" w:bidi="en-US"/>
                              </w:rPr>
                              <w:t>2584.2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59948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  <w:lang w:val="en-US" w:eastAsia="en-US" w:bidi="en-US"/>
                              </w:rPr>
                              <w:t>2462.5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97948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22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0"/>
                                <w:w w:val="80"/>
                                <w:position w:val="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Borders>
                              <w:top w:val="single" w:sz="4"/>
                              <w:left w:val="single" w:sz="4"/>
                              <w:bottom w:val="single" w:sz="4"/>
                              <w:right w:val="single" w:sz="4"/>
                            </w:tcBorders>
                            <w:shd w:val="clear" w:color="auto" w:fill="FFFFFF"/>
                            <w:vAlign w:val="center"/>
                          </w:tcPr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8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655B6A"/>
                                <w:spacing w:val="0"/>
                                <w:w w:val="100"/>
                                <w:position w:val="0"/>
                              </w:rPr>
                              <w:t>年中调整 较多</w:t>
                            </w:r>
                            <w:r>
                              <w:rPr>
                                <w:color w:val="2F2E33"/>
                                <w:spacing w:val="0"/>
                                <w:w w:val="100"/>
                                <w:position w:val="0"/>
                              </w:rPr>
                              <w:t>，</w:t>
                            </w:r>
                            <w:r>
                              <w:rPr>
                                <w:color w:val="655B6A"/>
                                <w:spacing w:val="0"/>
                                <w:w w:val="100"/>
                                <w:position w:val="0"/>
                              </w:rPr>
                              <w:t>裏高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8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655B6A"/>
                                <w:spacing w:val="0"/>
                                <w:w w:val="100"/>
                                <w:position w:val="0"/>
                              </w:rPr>
                              <w:t>预算编制 精准度，减</w:t>
                            </w:r>
                          </w:p>
                          <w:p>
                            <w:pPr>
                              <w:pStyle w:val="Style6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38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655B6A"/>
                                <w:spacing w:val="0"/>
                                <w:w w:val="100"/>
                                <w:position w:val="0"/>
                              </w:rPr>
                              <w:t>少预算调 整</w:t>
                            </w:r>
                          </w:p>
                        </w:tc>
                      </w:tr>
                    </w:tbl>
                    <w:p>
                      <w:pPr>
                        <w:widowControl w:val="0"/>
                        <w:spacing w:line="1" w:lineRule="exact"/>
                      </w:pPr>
                    </w:p>
                  </w:txbxContent>
                </v:textbox>
                <w10:wrap type="topAndBottom"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1407160</wp:posOffset>
                </wp:positionH>
                <wp:positionV relativeFrom="margin">
                  <wp:posOffset>4355465</wp:posOffset>
                </wp:positionV>
                <wp:extent cx="423545" cy="32893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23545" cy="32893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5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color w:val="655B6A"/>
                                <w:spacing w:val="0"/>
                                <w:w w:val="100"/>
                                <w:position w:val="0"/>
                              </w:rPr>
                              <w:t>一</w:t>
                            </w: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级指 标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110.8pt;margin-top:342.94999999999999pt;width:33.350000000000001pt;height:25.900000000000002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5" w:lineRule="exact"/>
                        <w:ind w:left="0" w:right="0" w:firstLine="0"/>
                        <w:jc w:val="center"/>
                      </w:pPr>
                      <w:r>
                        <w:rPr>
                          <w:color w:val="655B6A"/>
                          <w:spacing w:val="0"/>
                          <w:w w:val="100"/>
                          <w:position w:val="0"/>
                        </w:rPr>
                        <w:t>一</w:t>
                      </w:r>
                      <w:r>
                        <w:rPr>
                          <w:spacing w:val="0"/>
                          <w:w w:val="100"/>
                          <w:position w:val="0"/>
                        </w:rPr>
                        <w:t>级指 标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mc:AlternateContent>
          <mc:Choice Requires="wps">
            <w:drawing>
              <wp:anchor distT="0" distB="0" distL="0" distR="0" simplePos="0" relativeHeight="503316484" behindDoc="0" locked="0" layoutInCell="1" allowOverlap="1">
                <wp:simplePos x="0" y="0"/>
                <wp:positionH relativeFrom="page">
                  <wp:posOffset>1403985</wp:posOffset>
                </wp:positionH>
                <wp:positionV relativeFrom="margin">
                  <wp:posOffset>6562090</wp:posOffset>
                </wp:positionV>
                <wp:extent cx="426720" cy="32639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426720" cy="32639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3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exact"/>
                              <w:ind w:left="0" w:right="0" w:firstLine="0"/>
                              <w:jc w:val="center"/>
                            </w:pPr>
                            <w:r>
                              <w:rPr>
                                <w:spacing w:val="0"/>
                                <w:w w:val="100"/>
                                <w:position w:val="0"/>
                              </w:rPr>
                              <w:t>产出指 标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110.55pt;margin-top:516.70000000000005pt;width:33.600000000000001pt;height:25.699999999999999pt;z-index:251657731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13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exact"/>
                        <w:ind w:left="0" w:right="0" w:firstLine="0"/>
                        <w:jc w:val="center"/>
                      </w:pPr>
                      <w:r>
                        <w:rPr>
                          <w:spacing w:val="0"/>
                          <w:w w:val="100"/>
                          <w:position w:val="0"/>
                        </w:rPr>
                        <w:t>产出指 标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spacing w:val="0"/>
          <w:w w:val="100"/>
          <w:position w:val="0"/>
        </w:rPr>
        <w:t>用于解决中央及市委、市政府确定的新增、临时、紧 急项目，编制内增加人员的基本支出，以及发放本单 位在职及离休、退休人员死亡一次性抚恤金等，保障 工作的正常开展。</w:t>
      </w:r>
      <w:r>
        <w:br w:type="page"/>
      </w:r>
    </w:p>
    <w:tbl>
      <w:tblPr>
        <w:tblOverlap w:val="never"/>
        <w:jc w:val="center"/>
        <w:tblLayout w:type="fixed"/>
      </w:tblPr>
      <w:tblGrid>
        <w:gridCol w:w="595"/>
        <w:gridCol w:w="974"/>
        <w:gridCol w:w="1099"/>
        <w:gridCol w:w="2122"/>
        <w:gridCol w:w="854"/>
        <w:gridCol w:w="845"/>
        <w:gridCol w:w="653"/>
        <w:gridCol w:w="648"/>
        <w:gridCol w:w="1238"/>
      </w:tblGrid>
      <w:tr>
        <w:trPr>
          <w:trHeight w:val="744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效益指 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经济效益 箱标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655B6A"/>
                <w:spacing w:val="0"/>
                <w:w w:val="100"/>
                <w:position w:val="0"/>
              </w:rPr>
              <w:t>指标</w:t>
            </w:r>
            <w:r>
              <w:rPr>
                <w:rFonts w:ascii="Times New Roman" w:eastAsia="Times New Roman" w:hAnsi="Times New Roman" w:cs="Times New Roman"/>
                <w:b/>
                <w:bCs/>
                <w:color w:val="2F2E33"/>
                <w:spacing w:val="0"/>
                <w:w w:val="8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71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社会效益 指麻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</w:rPr>
              <w:t>指标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1: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6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生态效益 指麻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160" w:after="0" w:line="240" w:lineRule="auto"/>
              <w:ind w:left="0" w:right="0" w:firstLine="0"/>
              <w:jc w:val="left"/>
            </w:pPr>
            <w:r>
              <w:rPr>
                <w:color w:val="2F2E33"/>
                <w:spacing w:val="0"/>
                <w:w w:val="100"/>
                <w:position w:val="0"/>
              </w:rPr>
              <w:t>指标</w:t>
            </w:r>
            <w:r>
              <w:rPr>
                <w:rFonts w:ascii="Times New Roman" w:eastAsia="Times New Roman" w:hAnsi="Times New Roman" w:cs="Times New Roman"/>
                <w:b/>
                <w:bCs/>
                <w:color w:val="2F2E33"/>
                <w:spacing w:val="0"/>
                <w:w w:val="80"/>
                <w:position w:val="0"/>
              </w:rPr>
              <w:t>1: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70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可持续影 响指标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9" w:lineRule="exact"/>
              <w:ind w:left="0" w:right="0" w:firstLine="0"/>
              <w:jc w:val="both"/>
            </w:pPr>
            <w:r>
              <w:rPr>
                <w:spacing w:val="0"/>
                <w:w w:val="100"/>
                <w:position w:val="0"/>
              </w:rPr>
              <w:t>保障中央及市委、市 政府确定的新增、临 时、紧急项目，编制 内增加人员的基未支 出，以及发放本单位 在职及离休、退休人 员死亡一次性抚恤金 等，保障工作的正常 开展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2F2E33"/>
                <w:spacing w:val="0"/>
                <w:w w:val="100"/>
                <w:position w:val="0"/>
              </w:rPr>
              <w:t xml:space="preserve">保障本 </w:t>
            </w:r>
            <w:r>
              <w:rPr>
                <w:spacing w:val="0"/>
                <w:w w:val="100"/>
                <w:position w:val="0"/>
              </w:rPr>
              <w:t>单位员 工工作 的正常 开展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保障本 单位员 工工出 的正常 开展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30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30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96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满意度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服务对象 满意度指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</w:rPr>
              <w:t>指标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1: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04" w:hRule="exact"/>
        </w:trPr>
        <w:tc>
          <w:tcPr>
            <w:gridSpan w:val="6"/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</w:rPr>
              <w:t>100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0"/>
                <w:w w:val="80"/>
                <w:position w:val="0"/>
                <w:lang w:val="en-US" w:eastAsia="en-US" w:bidi="en-US"/>
              </w:rPr>
              <w:t>94.5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sectPr>
      <w:footnotePr>
        <w:pos w:val="pageBottom"/>
        <w:numFmt w:val="decimal"/>
        <w:numRestart w:val="continuous"/>
      </w:footnotePr>
      <w:pgSz w:w="11900" w:h="16840"/>
      <w:pgMar w:top="1458" w:right="1400" w:bottom="8799" w:left="1448" w:header="1030" w:footer="837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DefaultParagraphFont">
    <w:name w:val="Default Paragraph Font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customStyle="1" w:styleId="CharStyle3">
    <w:name w:val="Body text|2_"/>
    <w:basedOn w:val="DefaultParagraphFont"/>
    <w:link w:val="Style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CharStyle5">
    <w:name w:val="Body text|1_"/>
    <w:basedOn w:val="DefaultParagraphFont"/>
    <w:link w:val="Style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CharStyle7">
    <w:name w:val="Other|1_"/>
    <w:basedOn w:val="DefaultParagraphFont"/>
    <w:link w:val="Style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CharStyle14">
    <w:name w:val="Table caption|1_"/>
    <w:basedOn w:val="DefaultParagraphFont"/>
    <w:link w:val="Style13"/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CharStyle17">
    <w:name w:val="Heading #1|1_"/>
    <w:basedOn w:val="DefaultParagraphFont"/>
    <w:link w:val="Style16"/>
    <w:rPr>
      <w:rFonts w:ascii="SimSun" w:eastAsia="SimSun" w:hAnsi="SimSun" w:cs="SimSun"/>
      <w:b w:val="0"/>
      <w:bCs w:val="0"/>
      <w:i w:val="0"/>
      <w:iCs w:val="0"/>
      <w:smallCaps w:val="0"/>
      <w:strike w:val="0"/>
      <w:color w:val="2F2E33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CharStyle19">
    <w:name w:val="Heading #2|1_"/>
    <w:basedOn w:val="DefaultParagraphFont"/>
    <w:link w:val="Style18"/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Style2">
    <w:name w:val="Body text|2"/>
    <w:basedOn w:val="Normal"/>
    <w:link w:val="CharStyle3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Style4">
    <w:name w:val="Body text|1"/>
    <w:basedOn w:val="Normal"/>
    <w:link w:val="CharStyle5"/>
    <w:pPr>
      <w:widowControl w:val="0"/>
      <w:shd w:val="clear" w:color="auto" w:fill="auto"/>
      <w:jc w:val="center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Style6">
    <w:name w:val="Other|1"/>
    <w:basedOn w:val="Normal"/>
    <w:link w:val="CharStyle7"/>
    <w:pPr>
      <w:widowControl w:val="0"/>
      <w:shd w:val="clear" w:color="auto" w:fill="auto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Style13">
    <w:name w:val="Table caption|1"/>
    <w:basedOn w:val="Normal"/>
    <w:link w:val="CharStyle14"/>
    <w:pPr>
      <w:widowControl w:val="0"/>
      <w:shd w:val="clear" w:color="auto" w:fill="auto"/>
      <w:spacing w:line="242" w:lineRule="exact"/>
      <w:jc w:val="center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Style16">
    <w:name w:val="Heading #1|1"/>
    <w:basedOn w:val="Normal"/>
    <w:link w:val="CharStyle17"/>
    <w:pPr>
      <w:widowControl w:val="0"/>
      <w:shd w:val="clear" w:color="auto" w:fill="auto"/>
      <w:spacing w:after="100"/>
      <w:jc w:val="center"/>
      <w:outlineLvl w:val="0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2F2E33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Style18">
    <w:name w:val="Heading #2|1"/>
    <w:basedOn w:val="Normal"/>
    <w:link w:val="CharStyle19"/>
    <w:pPr>
      <w:widowControl w:val="0"/>
      <w:shd w:val="clear" w:color="auto" w:fill="auto"/>
      <w:spacing w:after="200"/>
      <w:jc w:val="center"/>
      <w:outlineLvl w:val="1"/>
    </w:pPr>
    <w:rPr>
      <w:rFonts w:ascii="SimSun" w:eastAsia="SimSun" w:hAnsi="SimSun" w:cs="SimSun"/>
      <w:b w:val="0"/>
      <w:bCs w:val="0"/>
      <w:i w:val="0"/>
      <w:iCs w:val="0"/>
      <w:smallCaps w:val="0"/>
      <w:strike w:val="0"/>
      <w:color w:val="4B4953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