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（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2020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2"/>
        <w:tblW w:w="921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1127"/>
        <w:gridCol w:w="519"/>
        <w:gridCol w:w="185"/>
        <w:gridCol w:w="460"/>
        <w:gridCol w:w="386"/>
        <w:gridCol w:w="8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659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水质监测运行维护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北京市水务局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4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北京市南水北调水质监测中心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刘一宏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4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88850928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574.9126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505.21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478.85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94.78%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9.48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574.9126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505.21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478.85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94.78%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9.48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6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做好北京市南水北调水质监测、分析及相关工作，保障水质安全。</w:t>
            </w:r>
          </w:p>
        </w:tc>
        <w:tc>
          <w:tcPr>
            <w:tcW w:w="356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020年全年水质中心围绕首都水安全保障工作任务，合理布局明确13个监测断面，充分发挥三处自动监测站点的预警和快速应急作用，实现“输水沿线全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过程监控，24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小时全天候监测”的工作目标。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全年水质监测站次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433站次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479站次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监测计划完成率、监测数据准确率、监测范围覆盖率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水质监测任务完成时间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2020年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第一季度实际完成59站次，第二季度完成137站次，第三季度完成184站次，第四季度完成99站次。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因调水计划变更等原因，第四季度监测站次相应减少。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水质监测业务成本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≤505.21万元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478.85万元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7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95</w:t>
            </w: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21291"/>
    <w:rsid w:val="164F4E0D"/>
    <w:rsid w:val="208C099F"/>
    <w:rsid w:val="268C6801"/>
    <w:rsid w:val="28EB0BCE"/>
    <w:rsid w:val="32FB41EC"/>
    <w:rsid w:val="3CEB6D8E"/>
    <w:rsid w:val="3FDD44BB"/>
    <w:rsid w:val="4E021291"/>
    <w:rsid w:val="4F9D79F3"/>
    <w:rsid w:val="50F01FCF"/>
    <w:rsid w:val="51CA71E8"/>
    <w:rsid w:val="53A5557F"/>
    <w:rsid w:val="65A83C94"/>
    <w:rsid w:val="6F4000ED"/>
    <w:rsid w:val="71D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2021-05-18T08:59:00Z</dcterms:created>
  <dc:creator>李月圆</dc:creator>
  <cp:lastModifiedBy>神神</cp:lastModifiedBy>
  <dcterms:modified xsi:type="dcterms:W3CDTF">2021-05-26T06:35:13Z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5253935A0B9B4FACA49FA72BAB215BF1</vt:lpwstr>
  </property>
</Properties>
</file>