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XSpec="center" w:tblpY="-180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1207"/>
        <w:gridCol w:w="1540"/>
        <w:gridCol w:w="2256"/>
        <w:gridCol w:w="1468"/>
        <w:gridCol w:w="1780"/>
        <w:gridCol w:w="1931"/>
        <w:gridCol w:w="1435"/>
        <w:gridCol w:w="1093"/>
        <w:gridCol w:w="174"/>
        <w:gridCol w:w="1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0" w:type="pct"/>
          <w:trHeight w:val="484" w:hRule="atLeast"/>
          <w:jc w:val="center"/>
        </w:trPr>
        <w:tc>
          <w:tcPr>
            <w:tcW w:w="4569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line="480" w:lineRule="exact"/>
              <w:ind w:firstLine="105" w:firstLineChars="33"/>
              <w:rPr>
                <w:rFonts w:ascii="宋体" w:hAnsi="宋体"/>
                <w:color w:val="000000"/>
                <w:sz w:val="32"/>
                <w:szCs w:val="32"/>
              </w:rPr>
            </w:pPr>
          </w:p>
          <w:p>
            <w:pPr>
              <w:spacing w:line="480" w:lineRule="exact"/>
              <w:ind w:right="-4360" w:rightChars="-2076" w:firstLine="5760" w:firstLineChars="1800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/>
                <w:color w:val="000000"/>
                <w:sz w:val="32"/>
                <w:szCs w:val="32"/>
              </w:rPr>
              <w:t xml:space="preserve">项目支出绩效自评表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0" w:type="pct"/>
          <w:trHeight w:val="311" w:hRule="atLeast"/>
          <w:jc w:val="center"/>
        </w:trPr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ind w:right="-4360" w:rightChars="-2076"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87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right="-4360" w:rightChars="-2076" w:firstLine="5720" w:firstLineChars="2600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（20</w:t>
            </w:r>
            <w:r>
              <w:rPr>
                <w:rFonts w:ascii="宋体" w:hAnsi="宋体" w:cs="宋体"/>
                <w:color w:val="000000"/>
                <w:kern w:val="0"/>
                <w:sz w:val="22"/>
              </w:rPr>
              <w:t>20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1196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3803" w:type="pct"/>
            <w:gridSpan w:val="8"/>
            <w:vAlign w:val="center"/>
          </w:tcPr>
          <w:p>
            <w:pPr>
              <w:widowControl/>
              <w:jc w:val="center"/>
              <w:rPr>
                <w:rFonts w:ascii="宋体" w:hAnsi="宋体" w:cs="Courier New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Courier New"/>
                <w:color w:val="000000"/>
                <w:kern w:val="0"/>
                <w:sz w:val="24"/>
              </w:rPr>
              <w:t>法院办案业务费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196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主管部门</w:t>
            </w:r>
          </w:p>
        </w:tc>
        <w:tc>
          <w:tcPr>
            <w:tcW w:w="1832" w:type="pct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北京市门头沟区人民法院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实施单位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北京市门头沟区人民法院（本级）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196" w:type="pct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项目负责人</w:t>
            </w:r>
          </w:p>
        </w:tc>
        <w:tc>
          <w:tcPr>
            <w:tcW w:w="1832" w:type="pct"/>
            <w:gridSpan w:val="3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王海旺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327" w:type="pct"/>
            <w:gridSpan w:val="4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61868123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  <w:jc w:val="center"/>
        </w:trPr>
        <w:tc>
          <w:tcPr>
            <w:tcW w:w="1196" w:type="pct"/>
            <w:gridSpan w:val="3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项目资金                    （万元）</w:t>
            </w:r>
          </w:p>
        </w:tc>
        <w:tc>
          <w:tcPr>
            <w:tcW w:w="751" w:type="pct"/>
            <w:tcBorders>
              <w:tl2br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8" w:type="pc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年初预算数（A）</w:t>
            </w:r>
          </w:p>
        </w:tc>
        <w:tc>
          <w:tcPr>
            <w:tcW w:w="591" w:type="pc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全年预算数</w:t>
            </w:r>
          </w:p>
        </w:tc>
        <w:tc>
          <w:tcPr>
            <w:tcW w:w="64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全年执行数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（B）</w:t>
            </w:r>
          </w:p>
        </w:tc>
        <w:tc>
          <w:tcPr>
            <w:tcW w:w="47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分值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（10分）</w:t>
            </w:r>
          </w:p>
        </w:tc>
        <w:tc>
          <w:tcPr>
            <w:tcW w:w="36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执行率（B/A)</w:t>
            </w:r>
          </w:p>
        </w:tc>
        <w:tc>
          <w:tcPr>
            <w:tcW w:w="488" w:type="pct"/>
            <w:gridSpan w:val="2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196" w:type="pct"/>
            <w:gridSpan w:val="3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1" w:type="pct"/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年度资金总额：</w:t>
            </w:r>
          </w:p>
        </w:tc>
        <w:tc>
          <w:tcPr>
            <w:tcW w:w="488" w:type="pc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562.12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562.12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316.59</w:t>
            </w:r>
          </w:p>
        </w:tc>
        <w:tc>
          <w:tcPr>
            <w:tcW w:w="47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56.32%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196" w:type="pct"/>
            <w:gridSpan w:val="3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1" w:type="pct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其中:当年财政拨款</w:t>
            </w:r>
          </w:p>
        </w:tc>
        <w:tc>
          <w:tcPr>
            <w:tcW w:w="488" w:type="pc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562.12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562.12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316.59</w:t>
            </w:r>
          </w:p>
        </w:tc>
        <w:tc>
          <w:tcPr>
            <w:tcW w:w="47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56.32%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196" w:type="pct"/>
            <w:gridSpan w:val="3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1" w:type="pct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上年结转资金</w:t>
            </w:r>
          </w:p>
        </w:tc>
        <w:tc>
          <w:tcPr>
            <w:tcW w:w="488" w:type="pc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47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1196" w:type="pct"/>
            <w:gridSpan w:val="3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751" w:type="pct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其他资金</w:t>
            </w:r>
          </w:p>
        </w:tc>
        <w:tc>
          <w:tcPr>
            <w:tcW w:w="488" w:type="pct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</w:t>
            </w:r>
          </w:p>
        </w:tc>
        <w:tc>
          <w:tcPr>
            <w:tcW w:w="474" w:type="pct"/>
            <w:shd w:val="clear" w:color="auto" w:fill="auto"/>
            <w:noWrap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　 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281" w:type="pct"/>
            <w:vMerge w:val="restart"/>
            <w:shd w:val="clear" w:color="auto" w:fill="auto"/>
            <w:noWrap/>
            <w:textDirection w:val="tbRlV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年度总体目标</w:t>
            </w:r>
          </w:p>
        </w:tc>
        <w:tc>
          <w:tcPr>
            <w:tcW w:w="2747" w:type="pct"/>
            <w:gridSpan w:val="5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预期目标</w:t>
            </w:r>
          </w:p>
        </w:tc>
        <w:tc>
          <w:tcPr>
            <w:tcW w:w="1971" w:type="pct"/>
            <w:gridSpan w:val="5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实际完成情况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atLeast"/>
          <w:jc w:val="center"/>
        </w:trPr>
        <w:tc>
          <w:tcPr>
            <w:tcW w:w="281" w:type="pct"/>
            <w:vMerge w:val="continue"/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2747" w:type="pct"/>
            <w:gridSpan w:val="5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紧紧围绕执法办案、司法改革、队伍建设等法院重点工作，努力完成各项审判执行工作，为区域的发展稳定提供坚实的司法保障。</w:t>
            </w:r>
          </w:p>
        </w:tc>
        <w:tc>
          <w:tcPr>
            <w:tcW w:w="1971" w:type="pct"/>
            <w:gridSpan w:val="5"/>
            <w:shd w:val="clear" w:color="auto" w:fill="auto"/>
            <w:vAlign w:val="center"/>
          </w:tcPr>
          <w:p>
            <w:pPr>
              <w:rPr>
                <w:rFonts w:ascii="Arial" w:hAnsi="Arial" w:cs="Arial"/>
                <w:color w:val="000000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保证了北京市门头沟区人民法院各项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审判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工作顺利进行，充分发挥了法院的职能作用经费保障，保障了单位各类水电、邮寄、印刷等各类日常工作，</w:t>
            </w:r>
            <w:r>
              <w:rPr>
                <w:rFonts w:ascii="Arial" w:hAnsi="Arial" w:cs="Arial"/>
                <w:color w:val="000000"/>
                <w:sz w:val="24"/>
                <w:shd w:val="clear" w:color="auto" w:fill="FFFFFF"/>
              </w:rPr>
              <w:t>提升</w:t>
            </w:r>
            <w:r>
              <w:rPr>
                <w:rFonts w:hint="eastAsia" w:ascii="Arial" w:hAnsi="Arial" w:cs="Arial"/>
                <w:color w:val="000000"/>
                <w:sz w:val="24"/>
                <w:shd w:val="clear" w:color="auto" w:fill="FFFFFF"/>
              </w:rPr>
              <w:t>了</w:t>
            </w:r>
            <w:r>
              <w:rPr>
                <w:rFonts w:ascii="Arial" w:hAnsi="Arial" w:cs="Arial"/>
                <w:color w:val="000000"/>
                <w:sz w:val="24"/>
                <w:shd w:val="clear" w:color="auto" w:fill="FFFFFF"/>
              </w:rPr>
              <w:t>当事人对案件审判工作</w:t>
            </w:r>
            <w:r>
              <w:rPr>
                <w:rFonts w:hint="eastAsia" w:ascii="Arial" w:hAnsi="Arial" w:cs="Arial"/>
                <w:color w:val="000000"/>
                <w:sz w:val="24"/>
                <w:shd w:val="clear" w:color="auto" w:fill="FFFFFF"/>
              </w:rPr>
              <w:t>的</w:t>
            </w:r>
            <w:r>
              <w:rPr>
                <w:rFonts w:ascii="Arial" w:hAnsi="Arial" w:cs="Arial"/>
                <w:color w:val="000000"/>
                <w:sz w:val="24"/>
                <w:shd w:val="clear" w:color="auto" w:fill="FFFFFF"/>
              </w:rPr>
              <w:t>满意</w:t>
            </w:r>
            <w:r>
              <w:rPr>
                <w:rFonts w:hint="eastAsia" w:ascii="Arial" w:hAnsi="Arial" w:cs="Arial"/>
                <w:color w:val="000000"/>
                <w:sz w:val="24"/>
                <w:shd w:val="clear" w:color="auto" w:fill="FFFFFF"/>
              </w:rPr>
              <w:t>度，</w:t>
            </w:r>
            <w:r>
              <w:rPr>
                <w:rFonts w:ascii="Arial" w:hAnsi="Arial" w:cs="Arial"/>
                <w:color w:val="000000"/>
                <w:sz w:val="24"/>
                <w:shd w:val="clear" w:color="auto" w:fill="FFFFFF"/>
              </w:rPr>
              <w:t>增加</w:t>
            </w:r>
            <w:r>
              <w:rPr>
                <w:rFonts w:hint="eastAsia" w:ascii="Arial" w:hAnsi="Arial" w:cs="Arial"/>
                <w:color w:val="000000"/>
                <w:sz w:val="24"/>
                <w:shd w:val="clear" w:color="auto" w:fill="FFFFFF"/>
              </w:rPr>
              <w:t>了</w:t>
            </w:r>
            <w:r>
              <w:rPr>
                <w:rFonts w:ascii="Arial" w:hAnsi="Arial" w:cs="Arial"/>
                <w:color w:val="000000"/>
                <w:sz w:val="24"/>
                <w:shd w:val="clear" w:color="auto" w:fill="FFFFFF"/>
              </w:rPr>
              <w:t>案件审判的透明度，有力惩处了各类犯罪，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完成全年结案率9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%，</w:t>
            </w:r>
            <w:r>
              <w:rPr>
                <w:rFonts w:ascii="Arial" w:hAnsi="Arial" w:cs="Arial"/>
                <w:color w:val="000000"/>
                <w:sz w:val="24"/>
                <w:shd w:val="clear" w:color="auto" w:fill="FFFFFF"/>
              </w:rPr>
              <w:t>保护</w:t>
            </w:r>
            <w:r>
              <w:rPr>
                <w:rFonts w:hint="eastAsia" w:ascii="Arial" w:hAnsi="Arial" w:cs="Arial"/>
                <w:color w:val="000000"/>
                <w:sz w:val="24"/>
                <w:shd w:val="clear" w:color="auto" w:fill="FFFFFF"/>
              </w:rPr>
              <w:t>了</w:t>
            </w:r>
            <w:r>
              <w:rPr>
                <w:rFonts w:ascii="Arial" w:hAnsi="Arial" w:cs="Arial"/>
                <w:color w:val="000000"/>
                <w:sz w:val="24"/>
                <w:shd w:val="clear" w:color="auto" w:fill="FFFFFF"/>
              </w:rPr>
              <w:t>人民群众</w:t>
            </w:r>
            <w:r>
              <w:rPr>
                <w:rFonts w:hint="eastAsia" w:ascii="Arial" w:hAnsi="Arial" w:cs="Arial"/>
                <w:color w:val="000000"/>
                <w:sz w:val="24"/>
                <w:shd w:val="clear" w:color="auto" w:fill="FFFFFF"/>
              </w:rPr>
              <w:t>的</w:t>
            </w:r>
            <w:r>
              <w:rPr>
                <w:rFonts w:ascii="Arial" w:hAnsi="Arial" w:cs="Arial"/>
                <w:color w:val="000000"/>
                <w:sz w:val="24"/>
                <w:shd w:val="clear" w:color="auto" w:fill="FFFFFF"/>
              </w:rPr>
              <w:t>合法权益，坚持司法为民、公正司法，推进</w:t>
            </w:r>
            <w:r>
              <w:rPr>
                <w:rFonts w:hint="eastAsia" w:ascii="Arial" w:hAnsi="Arial" w:cs="Arial"/>
                <w:color w:val="000000"/>
                <w:sz w:val="24"/>
                <w:shd w:val="clear" w:color="auto" w:fill="FFFFFF"/>
              </w:rPr>
              <w:t>了</w:t>
            </w:r>
            <w:r>
              <w:rPr>
                <w:rFonts w:ascii="Arial" w:hAnsi="Arial" w:cs="Arial"/>
                <w:color w:val="000000"/>
                <w:sz w:val="24"/>
                <w:shd w:val="clear" w:color="auto" w:fill="FFFFFF"/>
              </w:rPr>
              <w:t>司法改革，强化</w:t>
            </w:r>
            <w:r>
              <w:rPr>
                <w:rFonts w:hint="eastAsia" w:ascii="Arial" w:hAnsi="Arial" w:cs="Arial"/>
                <w:color w:val="000000"/>
                <w:sz w:val="24"/>
                <w:shd w:val="clear" w:color="auto" w:fill="FFFFFF"/>
              </w:rPr>
              <w:t>了</w:t>
            </w:r>
            <w:r>
              <w:rPr>
                <w:rFonts w:ascii="Arial" w:hAnsi="Arial" w:cs="Arial"/>
                <w:color w:val="000000"/>
                <w:sz w:val="24"/>
                <w:shd w:val="clear" w:color="auto" w:fill="FFFFFF"/>
              </w:rPr>
              <w:t>过硬队伍建设，维护</w:t>
            </w:r>
            <w:r>
              <w:rPr>
                <w:rFonts w:hint="eastAsia" w:ascii="Arial" w:hAnsi="Arial" w:cs="Arial"/>
                <w:color w:val="000000"/>
                <w:sz w:val="24"/>
                <w:shd w:val="clear" w:color="auto" w:fill="FFFFFF"/>
              </w:rPr>
              <w:t>了</w:t>
            </w:r>
            <w:r>
              <w:rPr>
                <w:rFonts w:ascii="Arial" w:hAnsi="Arial" w:cs="Arial"/>
                <w:color w:val="000000"/>
                <w:sz w:val="24"/>
                <w:shd w:val="clear" w:color="auto" w:fill="FFFFFF"/>
              </w:rPr>
              <w:t>社会安定稳定</w:t>
            </w:r>
            <w:r>
              <w:rPr>
                <w:rFonts w:hint="eastAsia" w:ascii="Arial" w:hAnsi="Arial" w:cs="Arial"/>
                <w:color w:val="000000"/>
                <w:sz w:val="24"/>
                <w:shd w:val="clear" w:color="auto" w:fill="FFFFFF"/>
              </w:rPr>
              <w:t>及</w:t>
            </w:r>
            <w:r>
              <w:rPr>
                <w:rFonts w:ascii="Arial" w:hAnsi="Arial" w:cs="Arial"/>
                <w:color w:val="000000"/>
                <w:sz w:val="24"/>
                <w:shd w:val="clear" w:color="auto" w:fill="FFFFFF"/>
              </w:rPr>
              <w:t>社会公平正义，促进</w:t>
            </w:r>
            <w:r>
              <w:rPr>
                <w:rFonts w:hint="eastAsia" w:ascii="Arial" w:hAnsi="Arial" w:cs="Arial"/>
                <w:color w:val="000000"/>
                <w:sz w:val="24"/>
                <w:shd w:val="clear" w:color="auto" w:fill="FFFFFF"/>
              </w:rPr>
              <w:t>了</w:t>
            </w:r>
            <w:r>
              <w:rPr>
                <w:rFonts w:ascii="Arial" w:hAnsi="Arial" w:cs="Arial"/>
                <w:color w:val="000000"/>
                <w:sz w:val="24"/>
                <w:shd w:val="clear" w:color="auto" w:fill="FFFFFF"/>
              </w:rPr>
              <w:t>经济社会健康发展，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为人民群众提供了优质高效的司法服务。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  <w:jc w:val="center"/>
        </w:trPr>
        <w:tc>
          <w:tcPr>
            <w:tcW w:w="281" w:type="pct"/>
            <w:vMerge w:val="restart"/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40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512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1240" w:type="pct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三级指标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年度指标值(A)</w:t>
            </w:r>
          </w:p>
        </w:tc>
        <w:tc>
          <w:tcPr>
            <w:tcW w:w="643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全年实际值(B)</w:t>
            </w:r>
          </w:p>
        </w:tc>
        <w:tc>
          <w:tcPr>
            <w:tcW w:w="47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36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得分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分析及改进措施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81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产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出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标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(50分)</w:t>
            </w:r>
          </w:p>
        </w:tc>
        <w:tc>
          <w:tcPr>
            <w:tcW w:w="512" w:type="pct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数量指标</w:t>
            </w:r>
          </w:p>
        </w:tc>
        <w:tc>
          <w:tcPr>
            <w:tcW w:w="1240" w:type="pct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采买制作书籍资料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类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类</w:t>
            </w:r>
          </w:p>
        </w:tc>
        <w:tc>
          <w:tcPr>
            <w:tcW w:w="474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81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02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12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0" w:type="pct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书籍征订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类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类</w:t>
            </w:r>
          </w:p>
        </w:tc>
        <w:tc>
          <w:tcPr>
            <w:tcW w:w="474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81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02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12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0" w:type="pct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高院培训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12月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12月</w:t>
            </w:r>
          </w:p>
        </w:tc>
        <w:tc>
          <w:tcPr>
            <w:tcW w:w="474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81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02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12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0" w:type="pct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宣传制作打印设计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类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类</w:t>
            </w:r>
          </w:p>
        </w:tc>
        <w:tc>
          <w:tcPr>
            <w:tcW w:w="474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81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02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12" w:type="pct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240" w:type="pct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司法专递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12月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12个月</w:t>
            </w:r>
          </w:p>
        </w:tc>
        <w:tc>
          <w:tcPr>
            <w:tcW w:w="474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81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02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质量指标</w:t>
            </w:r>
          </w:p>
        </w:tc>
        <w:tc>
          <w:tcPr>
            <w:tcW w:w="1240" w:type="pct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保障执法业务开展的质量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符合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符合</w:t>
            </w:r>
          </w:p>
        </w:tc>
        <w:tc>
          <w:tcPr>
            <w:tcW w:w="474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15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81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02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进度指标</w:t>
            </w:r>
          </w:p>
        </w:tc>
        <w:tc>
          <w:tcPr>
            <w:tcW w:w="1240" w:type="pct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020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年1月—1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月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个月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个月</w:t>
            </w:r>
          </w:p>
        </w:tc>
        <w:tc>
          <w:tcPr>
            <w:tcW w:w="474" w:type="pct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81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02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成本指标</w:t>
            </w:r>
          </w:p>
        </w:tc>
        <w:tc>
          <w:tcPr>
            <w:tcW w:w="1240" w:type="pct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项目预算控制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562.12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316.59</w:t>
            </w:r>
          </w:p>
        </w:tc>
        <w:tc>
          <w:tcPr>
            <w:tcW w:w="47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81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效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益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标</w:t>
            </w:r>
            <w:r>
              <w:rPr>
                <w:rFonts w:hint="eastAsia" w:ascii="宋体" w:hAnsi="宋体" w:cs="宋体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</w:rPr>
              <w:t>(</w:t>
            </w:r>
            <w:r>
              <w:rPr>
                <w:rFonts w:ascii="宋体" w:hAnsi="宋体" w:cs="宋体"/>
                <w:kern w:val="0"/>
                <w:sz w:val="24"/>
              </w:rPr>
              <w:t>30</w:t>
            </w:r>
            <w:r>
              <w:rPr>
                <w:rFonts w:hint="eastAsia" w:ascii="宋体" w:hAnsi="宋体" w:cs="宋体"/>
                <w:kern w:val="0"/>
                <w:sz w:val="24"/>
              </w:rPr>
              <w:t>分)</w:t>
            </w:r>
          </w:p>
        </w:tc>
        <w:tc>
          <w:tcPr>
            <w:tcW w:w="512" w:type="pct"/>
            <w:vMerge w:val="restar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</w:tc>
        <w:tc>
          <w:tcPr>
            <w:tcW w:w="1240" w:type="pct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完成各庭审判任务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提高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提高</w:t>
            </w:r>
          </w:p>
        </w:tc>
        <w:tc>
          <w:tcPr>
            <w:tcW w:w="474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81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02" w:type="pct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512" w:type="pct"/>
            <w:vMerge w:val="continue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40" w:type="pct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提升全年结案率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提升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提升</w:t>
            </w:r>
          </w:p>
        </w:tc>
        <w:tc>
          <w:tcPr>
            <w:tcW w:w="474" w:type="pct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8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81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02" w:type="pct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可持续影响指标</w:t>
            </w:r>
          </w:p>
        </w:tc>
        <w:tc>
          <w:tcPr>
            <w:tcW w:w="1240" w:type="pct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提供优质高效的司法服务</w:t>
            </w:r>
          </w:p>
        </w:tc>
        <w:tc>
          <w:tcPr>
            <w:tcW w:w="591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提升</w:t>
            </w:r>
          </w:p>
        </w:tc>
        <w:tc>
          <w:tcPr>
            <w:tcW w:w="643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提升</w:t>
            </w:r>
          </w:p>
        </w:tc>
        <w:tc>
          <w:tcPr>
            <w:tcW w:w="474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364" w:type="pct"/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488" w:type="pct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81" w:type="pct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02" w:type="pct"/>
            <w:tcBorders>
              <w:bottom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指标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(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10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分)</w:t>
            </w:r>
          </w:p>
        </w:tc>
        <w:tc>
          <w:tcPr>
            <w:tcW w:w="512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服务对象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满意度指标</w:t>
            </w:r>
          </w:p>
        </w:tc>
        <w:tc>
          <w:tcPr>
            <w:tcW w:w="1240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当事人干警满意度</w:t>
            </w:r>
          </w:p>
        </w:tc>
        <w:tc>
          <w:tcPr>
            <w:tcW w:w="591" w:type="pct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</w:t>
            </w:r>
          </w:p>
        </w:tc>
        <w:tc>
          <w:tcPr>
            <w:tcW w:w="643" w:type="pct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满意</w:t>
            </w:r>
          </w:p>
        </w:tc>
        <w:tc>
          <w:tcPr>
            <w:tcW w:w="47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0</w:t>
            </w:r>
          </w:p>
        </w:tc>
        <w:tc>
          <w:tcPr>
            <w:tcW w:w="364" w:type="pct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9</w:t>
            </w:r>
          </w:p>
        </w:tc>
        <w:tc>
          <w:tcPr>
            <w:tcW w:w="488" w:type="pct"/>
            <w:gridSpan w:val="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147" w:type="pct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总 分：</w:t>
            </w:r>
          </w:p>
        </w:tc>
        <w:tc>
          <w:tcPr>
            <w:tcW w:w="852" w:type="pct"/>
            <w:gridSpan w:val="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81" w:type="pct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8" w:type="pct"/>
            <w:gridSpan w:val="10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注：1.得分一档最高不能超过该指标分值上限。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8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2.定性指标根据指标完成情况分为：达成预期指标、基本达成预期指标且效果较好、部分达成预期指标且具有一定效果、未达成预期指标且效果较差四档，分别按照该指标对应分值区间100-90%(含90%)、90-75%(含75%)、75-60%（含60%）、60-0%合理确定分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8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 xml:space="preserve">    3.定量指标若为正向指标，则得分计算方法应用全年实际值（B）/年度指标值（A）*该指标分值；若定量指标为反向指标，则得分计算方法应用年度指标值（A）/全年实际值（B）*该指标分值。若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年初指标值设定偏低，则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得分计算方法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应用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（全年实际值（B）—年度指标值（A））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年度指标值（A）*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100%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。若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计算结果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在200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%-300%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（含200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）区间，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则按照该指标分值的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%扣分；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计算结果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在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%-500%（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含300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区间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，则按照该指标分值的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%扣分；计算结果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高于500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%（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含500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%）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则按照该指标分值的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30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%扣分。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281" w:type="pct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718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ind w:firstLine="480" w:firstLineChars="20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4.请在“未完成原因分析”中说明偏离目标、不能完成目标的原因及拟采取的措施。</w:t>
            </w:r>
          </w:p>
        </w:tc>
      </w:tr>
    </w:tbl>
    <w:p>
      <w:pPr>
        <w:rPr>
          <w:rFonts w:ascii="宋体" w:hAnsi="宋体"/>
          <w:sz w:val="24"/>
        </w:rPr>
      </w:pPr>
    </w:p>
    <w:sectPr>
      <w:pgSz w:w="16838" w:h="11906" w:orient="landscape"/>
      <w:pgMar w:top="1440" w:right="1021" w:bottom="1440" w:left="102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7F79"/>
    <w:rsid w:val="00001924"/>
    <w:rsid w:val="00017B00"/>
    <w:rsid w:val="00020F69"/>
    <w:rsid w:val="00021C45"/>
    <w:rsid w:val="00022677"/>
    <w:rsid w:val="00032849"/>
    <w:rsid w:val="00034497"/>
    <w:rsid w:val="00036553"/>
    <w:rsid w:val="000414DB"/>
    <w:rsid w:val="0004222D"/>
    <w:rsid w:val="00053C66"/>
    <w:rsid w:val="000569E2"/>
    <w:rsid w:val="00065CF8"/>
    <w:rsid w:val="000837FD"/>
    <w:rsid w:val="00087328"/>
    <w:rsid w:val="000A633B"/>
    <w:rsid w:val="000B6026"/>
    <w:rsid w:val="000C5E07"/>
    <w:rsid w:val="000C72EC"/>
    <w:rsid w:val="000D3B00"/>
    <w:rsid w:val="000D7787"/>
    <w:rsid w:val="000E5BEE"/>
    <w:rsid w:val="000F3B48"/>
    <w:rsid w:val="000F5A33"/>
    <w:rsid w:val="001377EE"/>
    <w:rsid w:val="00141E29"/>
    <w:rsid w:val="00151E5C"/>
    <w:rsid w:val="00151ED4"/>
    <w:rsid w:val="00164931"/>
    <w:rsid w:val="00176D18"/>
    <w:rsid w:val="0018105B"/>
    <w:rsid w:val="00183290"/>
    <w:rsid w:val="00190675"/>
    <w:rsid w:val="001A5A5B"/>
    <w:rsid w:val="001B0D20"/>
    <w:rsid w:val="001B68D3"/>
    <w:rsid w:val="001C5D14"/>
    <w:rsid w:val="001C7A5E"/>
    <w:rsid w:val="001F0A9A"/>
    <w:rsid w:val="001F33CC"/>
    <w:rsid w:val="002063F6"/>
    <w:rsid w:val="0020703A"/>
    <w:rsid w:val="00207A55"/>
    <w:rsid w:val="002102CE"/>
    <w:rsid w:val="00214009"/>
    <w:rsid w:val="002155B1"/>
    <w:rsid w:val="002173B6"/>
    <w:rsid w:val="002274C8"/>
    <w:rsid w:val="002748B8"/>
    <w:rsid w:val="00276865"/>
    <w:rsid w:val="002865E9"/>
    <w:rsid w:val="002A6E2E"/>
    <w:rsid w:val="002C0E98"/>
    <w:rsid w:val="002C7D42"/>
    <w:rsid w:val="002D280A"/>
    <w:rsid w:val="002D5FE4"/>
    <w:rsid w:val="002F01B2"/>
    <w:rsid w:val="00302DD9"/>
    <w:rsid w:val="00305AA6"/>
    <w:rsid w:val="00313AC7"/>
    <w:rsid w:val="003151BF"/>
    <w:rsid w:val="003213B1"/>
    <w:rsid w:val="00331A25"/>
    <w:rsid w:val="00334B0E"/>
    <w:rsid w:val="003448EE"/>
    <w:rsid w:val="00345554"/>
    <w:rsid w:val="003511CC"/>
    <w:rsid w:val="003531EC"/>
    <w:rsid w:val="00370EB2"/>
    <w:rsid w:val="00380532"/>
    <w:rsid w:val="00386F4A"/>
    <w:rsid w:val="003A62A9"/>
    <w:rsid w:val="003A731E"/>
    <w:rsid w:val="003A7DA8"/>
    <w:rsid w:val="003B0AA5"/>
    <w:rsid w:val="003B7600"/>
    <w:rsid w:val="003B79B5"/>
    <w:rsid w:val="003C0F48"/>
    <w:rsid w:val="003C44EE"/>
    <w:rsid w:val="003D450F"/>
    <w:rsid w:val="003F1F66"/>
    <w:rsid w:val="003F6210"/>
    <w:rsid w:val="004078C1"/>
    <w:rsid w:val="00410639"/>
    <w:rsid w:val="00425C10"/>
    <w:rsid w:val="00430AF0"/>
    <w:rsid w:val="00433280"/>
    <w:rsid w:val="00450610"/>
    <w:rsid w:val="00467527"/>
    <w:rsid w:val="00470E34"/>
    <w:rsid w:val="00483BA4"/>
    <w:rsid w:val="00483DE0"/>
    <w:rsid w:val="00486BD4"/>
    <w:rsid w:val="00487C4A"/>
    <w:rsid w:val="004A4AE3"/>
    <w:rsid w:val="004A5479"/>
    <w:rsid w:val="004A5A2D"/>
    <w:rsid w:val="004A678D"/>
    <w:rsid w:val="004D1367"/>
    <w:rsid w:val="004F218B"/>
    <w:rsid w:val="004F27E4"/>
    <w:rsid w:val="004F2F62"/>
    <w:rsid w:val="004F48A8"/>
    <w:rsid w:val="00510469"/>
    <w:rsid w:val="00513F83"/>
    <w:rsid w:val="00515BA0"/>
    <w:rsid w:val="00524253"/>
    <w:rsid w:val="00534B3B"/>
    <w:rsid w:val="005402BB"/>
    <w:rsid w:val="005421A1"/>
    <w:rsid w:val="00542B83"/>
    <w:rsid w:val="00546059"/>
    <w:rsid w:val="00546167"/>
    <w:rsid w:val="00546735"/>
    <w:rsid w:val="00555603"/>
    <w:rsid w:val="005621EA"/>
    <w:rsid w:val="00567581"/>
    <w:rsid w:val="0057534B"/>
    <w:rsid w:val="00587D46"/>
    <w:rsid w:val="00591678"/>
    <w:rsid w:val="005A29BB"/>
    <w:rsid w:val="005B1EE2"/>
    <w:rsid w:val="005C1CAF"/>
    <w:rsid w:val="005D1B0A"/>
    <w:rsid w:val="005D3C8D"/>
    <w:rsid w:val="005D748A"/>
    <w:rsid w:val="005E0150"/>
    <w:rsid w:val="005E0D1A"/>
    <w:rsid w:val="006128C4"/>
    <w:rsid w:val="00626794"/>
    <w:rsid w:val="00633E26"/>
    <w:rsid w:val="00640988"/>
    <w:rsid w:val="00645479"/>
    <w:rsid w:val="00661984"/>
    <w:rsid w:val="006742E3"/>
    <w:rsid w:val="0068653F"/>
    <w:rsid w:val="006865FF"/>
    <w:rsid w:val="006933DB"/>
    <w:rsid w:val="00697F43"/>
    <w:rsid w:val="006A391C"/>
    <w:rsid w:val="006D0FB2"/>
    <w:rsid w:val="006D38EB"/>
    <w:rsid w:val="006D469A"/>
    <w:rsid w:val="006E4A0D"/>
    <w:rsid w:val="006E73DF"/>
    <w:rsid w:val="006F31FD"/>
    <w:rsid w:val="0070071D"/>
    <w:rsid w:val="00705FF2"/>
    <w:rsid w:val="0070696A"/>
    <w:rsid w:val="007218BB"/>
    <w:rsid w:val="00726F24"/>
    <w:rsid w:val="007276A5"/>
    <w:rsid w:val="00736AE4"/>
    <w:rsid w:val="0077256F"/>
    <w:rsid w:val="00787A7B"/>
    <w:rsid w:val="00787F39"/>
    <w:rsid w:val="00797F79"/>
    <w:rsid w:val="007A5281"/>
    <w:rsid w:val="007B1C27"/>
    <w:rsid w:val="007B2F19"/>
    <w:rsid w:val="007B4658"/>
    <w:rsid w:val="007C5AC0"/>
    <w:rsid w:val="007C66D0"/>
    <w:rsid w:val="0080274E"/>
    <w:rsid w:val="00806ADA"/>
    <w:rsid w:val="00810C71"/>
    <w:rsid w:val="00813DC3"/>
    <w:rsid w:val="00816D0D"/>
    <w:rsid w:val="00820A0B"/>
    <w:rsid w:val="008329A5"/>
    <w:rsid w:val="008526DC"/>
    <w:rsid w:val="008633B7"/>
    <w:rsid w:val="00876E27"/>
    <w:rsid w:val="00885EFD"/>
    <w:rsid w:val="0088678F"/>
    <w:rsid w:val="00886E82"/>
    <w:rsid w:val="008A2744"/>
    <w:rsid w:val="008B17AD"/>
    <w:rsid w:val="008B1C54"/>
    <w:rsid w:val="008C55F8"/>
    <w:rsid w:val="008D0E6E"/>
    <w:rsid w:val="008D24AA"/>
    <w:rsid w:val="008F6D04"/>
    <w:rsid w:val="00910AA0"/>
    <w:rsid w:val="00926BF7"/>
    <w:rsid w:val="0095113E"/>
    <w:rsid w:val="0095520C"/>
    <w:rsid w:val="00973118"/>
    <w:rsid w:val="0098633D"/>
    <w:rsid w:val="0098730B"/>
    <w:rsid w:val="00993B6D"/>
    <w:rsid w:val="00995D04"/>
    <w:rsid w:val="009A4F4F"/>
    <w:rsid w:val="009B07F0"/>
    <w:rsid w:val="009B0FD2"/>
    <w:rsid w:val="009B30EC"/>
    <w:rsid w:val="009B521D"/>
    <w:rsid w:val="009C0EF8"/>
    <w:rsid w:val="009C7AD7"/>
    <w:rsid w:val="009D533D"/>
    <w:rsid w:val="009E7B64"/>
    <w:rsid w:val="009F1629"/>
    <w:rsid w:val="009F4D90"/>
    <w:rsid w:val="00A02260"/>
    <w:rsid w:val="00A139AE"/>
    <w:rsid w:val="00A2638B"/>
    <w:rsid w:val="00A31BA1"/>
    <w:rsid w:val="00A448EC"/>
    <w:rsid w:val="00A44C06"/>
    <w:rsid w:val="00A5691E"/>
    <w:rsid w:val="00A623D2"/>
    <w:rsid w:val="00A64712"/>
    <w:rsid w:val="00A70718"/>
    <w:rsid w:val="00A76688"/>
    <w:rsid w:val="00A86722"/>
    <w:rsid w:val="00AA3A0A"/>
    <w:rsid w:val="00AD72A2"/>
    <w:rsid w:val="00AD7DE4"/>
    <w:rsid w:val="00AE5E0E"/>
    <w:rsid w:val="00B01C1B"/>
    <w:rsid w:val="00B041E6"/>
    <w:rsid w:val="00B043D5"/>
    <w:rsid w:val="00B40C8A"/>
    <w:rsid w:val="00B45F53"/>
    <w:rsid w:val="00B4609A"/>
    <w:rsid w:val="00B5333E"/>
    <w:rsid w:val="00B53AA4"/>
    <w:rsid w:val="00B7015F"/>
    <w:rsid w:val="00B7481E"/>
    <w:rsid w:val="00B9669B"/>
    <w:rsid w:val="00BA2B75"/>
    <w:rsid w:val="00BB0F10"/>
    <w:rsid w:val="00BB74F1"/>
    <w:rsid w:val="00BC0416"/>
    <w:rsid w:val="00BC3845"/>
    <w:rsid w:val="00BD6821"/>
    <w:rsid w:val="00BF4BFC"/>
    <w:rsid w:val="00BF5B43"/>
    <w:rsid w:val="00BF70E0"/>
    <w:rsid w:val="00C00976"/>
    <w:rsid w:val="00C31863"/>
    <w:rsid w:val="00C31DE1"/>
    <w:rsid w:val="00C55E05"/>
    <w:rsid w:val="00C60DD7"/>
    <w:rsid w:val="00C6590B"/>
    <w:rsid w:val="00C718C8"/>
    <w:rsid w:val="00C8023E"/>
    <w:rsid w:val="00C95E68"/>
    <w:rsid w:val="00CA1885"/>
    <w:rsid w:val="00CA23D9"/>
    <w:rsid w:val="00CC105C"/>
    <w:rsid w:val="00CC3C16"/>
    <w:rsid w:val="00CC5430"/>
    <w:rsid w:val="00CC65E5"/>
    <w:rsid w:val="00CC6FE4"/>
    <w:rsid w:val="00CD2691"/>
    <w:rsid w:val="00CE17CC"/>
    <w:rsid w:val="00CE3475"/>
    <w:rsid w:val="00D2240C"/>
    <w:rsid w:val="00D25CA9"/>
    <w:rsid w:val="00D451CE"/>
    <w:rsid w:val="00D65187"/>
    <w:rsid w:val="00D73638"/>
    <w:rsid w:val="00D743A4"/>
    <w:rsid w:val="00D774E2"/>
    <w:rsid w:val="00D86EC1"/>
    <w:rsid w:val="00D93FB4"/>
    <w:rsid w:val="00D94AB4"/>
    <w:rsid w:val="00DA4964"/>
    <w:rsid w:val="00DB055B"/>
    <w:rsid w:val="00DC0103"/>
    <w:rsid w:val="00DC4647"/>
    <w:rsid w:val="00DC6C86"/>
    <w:rsid w:val="00DD3DA2"/>
    <w:rsid w:val="00DD4992"/>
    <w:rsid w:val="00DE77AC"/>
    <w:rsid w:val="00DF6267"/>
    <w:rsid w:val="00E33339"/>
    <w:rsid w:val="00E4105B"/>
    <w:rsid w:val="00E55128"/>
    <w:rsid w:val="00E61783"/>
    <w:rsid w:val="00E9264C"/>
    <w:rsid w:val="00E960D7"/>
    <w:rsid w:val="00EA0EB8"/>
    <w:rsid w:val="00EB0568"/>
    <w:rsid w:val="00EB28FB"/>
    <w:rsid w:val="00EB4BB0"/>
    <w:rsid w:val="00EC270C"/>
    <w:rsid w:val="00ED1607"/>
    <w:rsid w:val="00EF7312"/>
    <w:rsid w:val="00F03609"/>
    <w:rsid w:val="00F11DDE"/>
    <w:rsid w:val="00F16E99"/>
    <w:rsid w:val="00F2148A"/>
    <w:rsid w:val="00F21E92"/>
    <w:rsid w:val="00F258AB"/>
    <w:rsid w:val="00F26BCD"/>
    <w:rsid w:val="00F41A9B"/>
    <w:rsid w:val="00F41C53"/>
    <w:rsid w:val="00F56136"/>
    <w:rsid w:val="00F614BC"/>
    <w:rsid w:val="00F64B00"/>
    <w:rsid w:val="00F7327E"/>
    <w:rsid w:val="00F85CA3"/>
    <w:rsid w:val="00FA32CC"/>
    <w:rsid w:val="00FB0061"/>
    <w:rsid w:val="00FB3729"/>
    <w:rsid w:val="00FB7D26"/>
    <w:rsid w:val="00FC4AEC"/>
    <w:rsid w:val="601C1522"/>
    <w:rsid w:val="7704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2EDA8F-5C6C-4ABE-B847-A993E9A688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3</Pages>
  <Words>228</Words>
  <Characters>1301</Characters>
  <Lines>10</Lines>
  <Paragraphs>3</Paragraphs>
  <TotalTime>17</TotalTime>
  <ScaleCrop>false</ScaleCrop>
  <LinksUpToDate>false</LinksUpToDate>
  <CharactersWithSpaces>1526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2021-05-28T05:49:00Z</dcterms:created>
  <dc:creator>马荣丽</dc:creator>
  <cp:lastModifiedBy>专业毁小伙伴三十年</cp:lastModifiedBy>
  <cp:lastPrinted>2020-06-09T02:22:00Z</cp:lastPrinted>
  <dcterms:modified xsi:type="dcterms:W3CDTF">2021-06-08T08:36:07Z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0662B9F39E6C4085BB2CCC8E30761E48</vt:lpwstr>
  </property>
</Properties>
</file>