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宋体"/>
          <w:b/>
          <w:bCs/>
          <w:color w:val="333333"/>
          <w:kern w:val="36"/>
          <w:sz w:val="32"/>
          <w:szCs w:val="32"/>
        </w:rPr>
      </w:pPr>
    </w:p>
    <w:p>
      <w:pPr>
        <w:jc w:val="center"/>
        <w:rPr>
          <w:rFonts w:hint="eastAsia" w:ascii="微软雅黑" w:hAnsi="微软雅黑" w:eastAsia="微软雅黑" w:cs="宋体"/>
          <w:b/>
          <w:bCs/>
          <w:color w:val="333333"/>
          <w:kern w:val="36"/>
          <w:sz w:val="32"/>
          <w:szCs w:val="32"/>
        </w:rPr>
      </w:pPr>
      <w:bookmarkStart w:id="1" w:name="_GoBack"/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2"/>
          <w:szCs w:val="32"/>
        </w:rPr>
        <w:t>北京市人民政府办公厅2020年度项目支出绩效自评表</w:t>
      </w:r>
    </w:p>
    <w:bookmarkEnd w:id="1"/>
    <w:p>
      <w:pPr>
        <w:jc w:val="center"/>
        <w:rPr>
          <w:rFonts w:hint="eastAsia" w:ascii="微软雅黑" w:hAnsi="微软雅黑" w:eastAsia="微软雅黑" w:cs="宋体"/>
          <w:b/>
          <w:bCs/>
          <w:color w:val="333333"/>
          <w:kern w:val="36"/>
          <w:sz w:val="32"/>
          <w:szCs w:val="32"/>
        </w:rPr>
      </w:pPr>
    </w:p>
    <w:tbl>
      <w:tblPr>
        <w:tblStyle w:val="2"/>
        <w:tblW w:w="1460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"/>
        <w:gridCol w:w="896"/>
        <w:gridCol w:w="178"/>
        <w:gridCol w:w="813"/>
        <w:gridCol w:w="261"/>
        <w:gridCol w:w="730"/>
        <w:gridCol w:w="344"/>
        <w:gridCol w:w="643"/>
        <w:gridCol w:w="429"/>
        <w:gridCol w:w="1075"/>
        <w:gridCol w:w="283"/>
        <w:gridCol w:w="360"/>
        <w:gridCol w:w="656"/>
        <w:gridCol w:w="535"/>
        <w:gridCol w:w="1428"/>
        <w:gridCol w:w="291"/>
        <w:gridCol w:w="781"/>
        <w:gridCol w:w="378"/>
        <w:gridCol w:w="1081"/>
        <w:gridCol w:w="153"/>
        <w:gridCol w:w="467"/>
        <w:gridCol w:w="240"/>
        <w:gridCol w:w="560"/>
        <w:gridCol w:w="276"/>
        <w:gridCol w:w="1071"/>
        <w:gridCol w:w="5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2622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公众满意度第三方调查经费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703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北京市人民政府办公厅 003</w:t>
            </w: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34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北京市人民政府办公厅本级行政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703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34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Cs w:val="22"/>
              </w:rPr>
            </w:pPr>
          </w:p>
        </w:tc>
        <w:tc>
          <w:tcPr>
            <w:tcW w:w="21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29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1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178.00 </w:t>
            </w:r>
          </w:p>
        </w:tc>
        <w:tc>
          <w:tcPr>
            <w:tcW w:w="29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162.29 </w:t>
            </w: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162.29 </w:t>
            </w:r>
          </w:p>
        </w:tc>
        <w:tc>
          <w:tcPr>
            <w:tcW w:w="14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100.00%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1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178.00 </w:t>
            </w:r>
          </w:p>
        </w:tc>
        <w:tc>
          <w:tcPr>
            <w:tcW w:w="29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162.29 </w:t>
            </w: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162.29 </w:t>
            </w:r>
          </w:p>
        </w:tc>
        <w:tc>
          <w:tcPr>
            <w:tcW w:w="14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100.00%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21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29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1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29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3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802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预期目标（年初设定目标）</w:t>
            </w:r>
          </w:p>
        </w:tc>
        <w:tc>
          <w:tcPr>
            <w:tcW w:w="558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0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市级行政机关服务对象满意度第三方调查（72.29万）。一是通过对2019年的调查结果分析，撰写形成2019年度调查总报告、55个市级行政机关调查分报告，并将2019年度调查收集的服务对象意见建议反馈给各市级行政机关，达到促进各市级行政机关改进工作、优化服务的目标。二是根据2020年工作情况，个性化设计各市级行政机关调查问卷，并综合采取多种方式，完成1万个样本的调查，收集整理服务对象反映的意见建议，科学测算2020年度服务对象对各市级行政机关的满意度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区政府公众满意度第三方调查（90万）。一是通过对2019年的调查结果分析，撰写2019年度调查总报告和16个区政府调查分报告，并将2019年度调查收集的公众意见建议反馈给各区政府，以达到促进各区政府改进工作、优化服务的目标。二是根据2020年度工作需要，为各区个性化设计城乡居民调查问卷、企业调查问卷，并综合采取多种方式，完成1.3万个样本的调查，收集整理公众反映的意见建议，科学测算2020年度公众对各区政府的满意度。</w:t>
            </w:r>
          </w:p>
        </w:tc>
        <w:tc>
          <w:tcPr>
            <w:tcW w:w="784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市级行政机关服务对象满意度第三方调查（72.29万）。一是通过对2019年的调查结果分析，撰写形成2019年度调查总报告、55个市级行政机关调查分报告，并将2019年度调查收集的服务对象意见建议反馈给各市级行政机关，较好的实现了促进各市级行政机关改进工作、优化服务的目标。二是根据2020年工作情况，个性化设计各市级行政机关调查问卷57份，并综合采取多种方式，完成1.168万个样本的调查，收集整理服务对象反映的意见建议，测算形成2020年度服务对象对各市级行政机关的满意度,为2020年度绩效考评提供了客观的参考依据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区政府公众满意度第三方调查（90万）。一是通过对2019年的调查结果分析，撰写2019年度调查总报告和16个区政府调查分报告，并将2019年度调查收集的公众意见建议反馈给各区政府，较好的实现了促进各区政府改进工作、优化服务的目标。二是根据2020年度工作需要，为各区个性化设计城乡居民调查问卷16份、企业调查问卷16份，并综合采取多种方式，完成1.54万个样本的调查，收集整理公众反映的意见建议，测算形成2020年度公众对各区政府的满意度,为2020年度绩效考评提供了客观的参考依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  <w:tc>
          <w:tcPr>
            <w:tcW w:w="9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3790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25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年度指标值(A)</w:t>
            </w:r>
          </w:p>
        </w:tc>
        <w:tc>
          <w:tcPr>
            <w:tcW w:w="2393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全年实际值(B)</w:t>
            </w:r>
          </w:p>
        </w:tc>
        <w:tc>
          <w:tcPr>
            <w:tcW w:w="70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65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99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(50分)</w:t>
            </w:r>
          </w:p>
        </w:tc>
        <w:tc>
          <w:tcPr>
            <w:tcW w:w="99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撰写2019年度市级行政机关服务对象满意度第三方调查总报告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1份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1份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撰写2019年度市级行政机关服务对象满意度第三方调查分报告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55份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55份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设计2020年度市级行政机关服务对象满意度调查问卷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55份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57份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2020年度市级行政机关服务对象满意度调查样本量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1万个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1.168万个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续上页</w:t>
            </w:r>
          </w:p>
        </w:tc>
        <w:tc>
          <w:tcPr>
            <w:tcW w:w="99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续上页</w:t>
            </w:r>
          </w:p>
        </w:tc>
        <w:tc>
          <w:tcPr>
            <w:tcW w:w="99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续上页</w:t>
            </w: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撰写2019年度区政府公众满意度第三方调查总报告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1份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1份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撰写2019年度区政府公众满意度第三方调查分报告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16份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16份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设计2020年度区政府公众满意度调查问卷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32份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32份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2020年度区政府公众满意度调查样本量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1.3万个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1.54万个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满意度调查收集过程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客观公正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调查对象覆盖广泛，通过随机抽样的方式采集样本，采取线上线下相结合的方式开展调查，确保结果客观真实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13.5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达成预期指标，后续将探索解决满意度调查结果绝对值可提升空间的情况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时效指标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撰写2019年度报告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4月底之前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4月底之前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确定2020年调查执行机构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7月底之前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7月底之前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实施调查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11月底之前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11月底之前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调查数据汇总并分析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12月底之前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12月底之前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市级行政机关服务对象满意度第三方调查成本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72.29万元 ，其中2019年度预算金额30%（2019年度项目尾款22.1646万元）、2020年预算金额70%（2020年项目首付款50.12万元）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72.29万元 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9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续上页</w:t>
            </w:r>
          </w:p>
        </w:tc>
        <w:tc>
          <w:tcPr>
            <w:tcW w:w="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续上页</w:t>
            </w:r>
          </w:p>
        </w:tc>
        <w:tc>
          <w:tcPr>
            <w:tcW w:w="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续上页</w:t>
            </w: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区政府公众满意度第三方调查成本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90.00万元，其中2019年度预算金额30%（2019年度项目尾款29.1006万元）、2020年预算金额70%（2020年项目首付款60.90万元）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90.00万元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效果指标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(40分)</w:t>
            </w:r>
          </w:p>
        </w:tc>
        <w:tc>
          <w:tcPr>
            <w:tcW w:w="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服务对象（公众）反映问题有效整改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整改事项再评价的满意度提高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针对公众反映的问题，相关单位组织制定整改措施，积极开展整改，2020年度社会公众和服务对象对市级行政机关的满意度分别提高了0.2分、0.29分，城乡居民和企业对区政府的满意度分别提升了2.04分、0.97分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达成预期指标，社会公众对市级行政机关的满意度提高比例提升空间待探索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37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市级行政机关及区政府对调查方式及结果的满意度</w:t>
            </w:r>
          </w:p>
        </w:tc>
        <w:tc>
          <w:tcPr>
            <w:tcW w:w="2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满意度≥84%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各市级行政机关和区政府对调查执行工作表示认可。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工作内容已完成，且未收到业务处室使用人员不满意的投诉，按照该指标分值20%扣分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140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 xml:space="preserve">95.50 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405" w:hRule="atLeast"/>
          <w:jc w:val="center"/>
        </w:trPr>
        <w:tc>
          <w:tcPr>
            <w:tcW w:w="13929" w:type="dxa"/>
            <w:gridSpan w:val="2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RANGE!A1:N20"/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402" w:hRule="atLeast"/>
          <w:jc w:val="center"/>
        </w:trPr>
        <w:tc>
          <w:tcPr>
            <w:tcW w:w="13929" w:type="dxa"/>
            <w:gridSpan w:val="2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342" w:hRule="atLeast"/>
          <w:jc w:val="center"/>
        </w:trPr>
        <w:tc>
          <w:tcPr>
            <w:tcW w:w="21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781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后勤保障服务经费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342" w:hRule="atLeast"/>
          <w:jc w:val="center"/>
        </w:trPr>
        <w:tc>
          <w:tcPr>
            <w:tcW w:w="21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05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北京市人民政府办公厅 003</w:t>
            </w:r>
          </w:p>
        </w:tc>
        <w:tc>
          <w:tcPr>
            <w:tcW w:w="25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22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北京市人民政府办公厅本级行政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342" w:hRule="atLeast"/>
          <w:jc w:val="center"/>
        </w:trPr>
        <w:tc>
          <w:tcPr>
            <w:tcW w:w="21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505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5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422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342" w:hRule="atLeast"/>
          <w:jc w:val="center"/>
        </w:trPr>
        <w:tc>
          <w:tcPr>
            <w:tcW w:w="214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5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342" w:hRule="atLeast"/>
          <w:jc w:val="center"/>
        </w:trPr>
        <w:tc>
          <w:tcPr>
            <w:tcW w:w="0" w:type="auto"/>
            <w:gridSpan w:val="4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262.08 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191.52 </w:t>
            </w:r>
          </w:p>
        </w:tc>
        <w:tc>
          <w:tcPr>
            <w:tcW w:w="25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191.52 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100.00%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342" w:hRule="atLeast"/>
          <w:jc w:val="center"/>
        </w:trPr>
        <w:tc>
          <w:tcPr>
            <w:tcW w:w="0" w:type="auto"/>
            <w:gridSpan w:val="4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262.08 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191.52 </w:t>
            </w:r>
          </w:p>
        </w:tc>
        <w:tc>
          <w:tcPr>
            <w:tcW w:w="25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191.52 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100.00%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342" w:hRule="atLeast"/>
          <w:jc w:val="center"/>
        </w:trPr>
        <w:tc>
          <w:tcPr>
            <w:tcW w:w="0" w:type="auto"/>
            <w:gridSpan w:val="4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25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342" w:hRule="atLeast"/>
          <w:jc w:val="center"/>
        </w:trPr>
        <w:tc>
          <w:tcPr>
            <w:tcW w:w="0" w:type="auto"/>
            <w:gridSpan w:val="4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25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342" w:hRule="atLeast"/>
          <w:jc w:val="center"/>
        </w:trPr>
        <w:tc>
          <w:tcPr>
            <w:tcW w:w="10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12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预期目标（年初设定目标）</w:t>
            </w:r>
          </w:p>
        </w:tc>
        <w:tc>
          <w:tcPr>
            <w:tcW w:w="672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780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提供市政府办公厅所有干部职工的后勤服务保障</w:t>
            </w:r>
          </w:p>
        </w:tc>
        <w:tc>
          <w:tcPr>
            <w:tcW w:w="672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完成2020年全年市政府办公厅所有干部职工的后勤服务保障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634" w:hRule="atLeast"/>
          <w:jc w:val="center"/>
        </w:trPr>
        <w:tc>
          <w:tcPr>
            <w:tcW w:w="10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83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年度指标值(A)</w:t>
            </w:r>
          </w:p>
        </w:tc>
        <w:tc>
          <w:tcPr>
            <w:tcW w:w="1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全年实际值(B)</w:t>
            </w:r>
          </w:p>
        </w:tc>
        <w:tc>
          <w:tcPr>
            <w:tcW w:w="1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1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偏差原因分析及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20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(50分)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21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后勤服务保障范围</w:t>
            </w:r>
          </w:p>
        </w:tc>
        <w:tc>
          <w:tcPr>
            <w:tcW w:w="18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全厅所有干部职工</w:t>
            </w:r>
          </w:p>
        </w:tc>
        <w:tc>
          <w:tcPr>
            <w:tcW w:w="1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全厅所有干部职工</w:t>
            </w:r>
          </w:p>
        </w:tc>
        <w:tc>
          <w:tcPr>
            <w:tcW w:w="1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21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20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时效指标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1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后勤服务保障时间</w:t>
            </w:r>
          </w:p>
        </w:tc>
        <w:tc>
          <w:tcPr>
            <w:tcW w:w="18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2020年全年</w:t>
            </w:r>
          </w:p>
        </w:tc>
        <w:tc>
          <w:tcPr>
            <w:tcW w:w="1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2020年全年</w:t>
            </w:r>
          </w:p>
        </w:tc>
        <w:tc>
          <w:tcPr>
            <w:tcW w:w="1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1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20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1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后勤服务保障成本</w:t>
            </w:r>
          </w:p>
        </w:tc>
        <w:tc>
          <w:tcPr>
            <w:tcW w:w="18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191.52万元</w:t>
            </w:r>
          </w:p>
        </w:tc>
        <w:tc>
          <w:tcPr>
            <w:tcW w:w="14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191.52万元</w:t>
            </w:r>
          </w:p>
        </w:tc>
        <w:tc>
          <w:tcPr>
            <w:tcW w:w="1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1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2" w:type="dxa"/>
          <w:wAfter w:w="580" w:type="dxa"/>
          <w:trHeight w:val="1527" w:hRule="atLeast"/>
          <w:jc w:val="center"/>
        </w:trPr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续上页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效果指标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(40分)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21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后勤服务保障</w:t>
            </w:r>
          </w:p>
        </w:tc>
        <w:tc>
          <w:tcPr>
            <w:tcW w:w="18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提供市政府办公厅所有干部职工的后勤服务保障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提供市政府办公厅所有干部职工的后勤服务保障</w:t>
            </w:r>
          </w:p>
        </w:tc>
        <w:tc>
          <w:tcPr>
            <w:tcW w:w="1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1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服务能力的提高与新方式的融合，满意度及投诉率均有待关注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FA0E78"/>
    <w:rsid w:val="36FA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2021-08-30T08:50:00Z</dcterms:created>
  <dc:creator>^然^</dc:creator>
  <cp:lastModifiedBy>^然^</cp:lastModifiedBy>
  <dcterms:modified xsi:type="dcterms:W3CDTF">2021-08-30T09:05:29Z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