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A19" w:rsidRPr="00E51E05" w:rsidRDefault="00E51E05" w:rsidP="00E51E05">
      <w:pPr>
        <w:jc w:val="center"/>
        <w:rPr>
          <w:rFonts w:asciiTheme="majorEastAsia" w:eastAsiaTheme="majorEastAsia" w:hAnsiTheme="majorEastAsia"/>
          <w:sz w:val="44"/>
          <w:szCs w:val="44"/>
        </w:rPr>
      </w:pPr>
      <w:r w:rsidRPr="00E51E05">
        <w:rPr>
          <w:rFonts w:asciiTheme="majorEastAsia" w:eastAsiaTheme="majorEastAsia" w:hAnsiTheme="majorEastAsia" w:hint="eastAsia"/>
          <w:sz w:val="44"/>
          <w:szCs w:val="44"/>
        </w:rPr>
        <w:t>地下管线</w:t>
      </w:r>
      <w:r w:rsidRPr="00E51E05">
        <w:rPr>
          <w:rFonts w:asciiTheme="majorEastAsia" w:eastAsiaTheme="majorEastAsia" w:hAnsiTheme="majorEastAsia"/>
          <w:sz w:val="44"/>
          <w:szCs w:val="44"/>
        </w:rPr>
        <w:t>对接机制检查</w:t>
      </w:r>
      <w:r w:rsidRPr="00E51E05">
        <w:rPr>
          <w:rFonts w:asciiTheme="majorEastAsia" w:eastAsiaTheme="majorEastAsia" w:hAnsiTheme="majorEastAsia" w:hint="eastAsia"/>
          <w:sz w:val="44"/>
          <w:szCs w:val="44"/>
        </w:rPr>
        <w:t>项目支出绩效目标申报表</w:t>
      </w:r>
    </w:p>
    <w:p w:rsidR="00E51E05" w:rsidRDefault="00E51E05" w:rsidP="00E51E05">
      <w:pPr>
        <w:jc w:val="center"/>
        <w:rPr>
          <w:rFonts w:asciiTheme="majorEastAsia" w:eastAsiaTheme="majorEastAsia" w:hAnsiTheme="majorEastAsia"/>
          <w:sz w:val="36"/>
          <w:szCs w:val="36"/>
        </w:rPr>
      </w:pPr>
      <w:r>
        <w:rPr>
          <w:rFonts w:asciiTheme="majorEastAsia" w:eastAsiaTheme="majorEastAsia" w:hAnsiTheme="majorEastAsia" w:hint="eastAsia"/>
          <w:sz w:val="36"/>
          <w:szCs w:val="36"/>
        </w:rPr>
        <w:t>（2019年度）</w:t>
      </w:r>
    </w:p>
    <w:p w:rsidR="00E51E05" w:rsidRDefault="00E51E05" w:rsidP="00E51E05">
      <w:pPr>
        <w:jc w:val="center"/>
        <w:rPr>
          <w:rFonts w:asciiTheme="majorEastAsia" w:eastAsiaTheme="majorEastAsia" w:hAnsiTheme="majorEastAsia"/>
          <w:sz w:val="36"/>
          <w:szCs w:val="36"/>
        </w:rPr>
      </w:pPr>
    </w:p>
    <w:tbl>
      <w:tblPr>
        <w:tblW w:w="5000" w:type="pct"/>
        <w:tblLook w:val="04A0" w:firstRow="1" w:lastRow="0" w:firstColumn="1" w:lastColumn="0" w:noHBand="0" w:noVBand="1"/>
      </w:tblPr>
      <w:tblGrid>
        <w:gridCol w:w="564"/>
        <w:gridCol w:w="563"/>
        <w:gridCol w:w="1272"/>
        <w:gridCol w:w="2176"/>
        <w:gridCol w:w="2017"/>
        <w:gridCol w:w="1266"/>
        <w:gridCol w:w="4045"/>
        <w:gridCol w:w="2045"/>
      </w:tblGrid>
      <w:tr w:rsidR="00E51E05" w:rsidRPr="00E51E05" w:rsidTr="00E51E05">
        <w:trPr>
          <w:trHeight w:val="814"/>
        </w:trPr>
        <w:tc>
          <w:tcPr>
            <w:tcW w:w="8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项目名称</w:t>
            </w:r>
          </w:p>
        </w:tc>
        <w:tc>
          <w:tcPr>
            <w:tcW w:w="4140" w:type="pct"/>
            <w:gridSpan w:val="5"/>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5C7099">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地下管线</w:t>
            </w:r>
            <w:r w:rsidR="005C7099">
              <w:rPr>
                <w:rFonts w:ascii="宋体" w:eastAsia="宋体" w:hAnsi="宋体" w:cs="宋体" w:hint="eastAsia"/>
                <w:kern w:val="0"/>
                <w:sz w:val="28"/>
                <w:szCs w:val="28"/>
              </w:rPr>
              <w:t>对接</w:t>
            </w:r>
            <w:r w:rsidRPr="00E51E05">
              <w:rPr>
                <w:rFonts w:ascii="宋体" w:eastAsia="宋体" w:hAnsi="宋体" w:cs="宋体" w:hint="eastAsia"/>
                <w:kern w:val="0"/>
                <w:sz w:val="28"/>
                <w:szCs w:val="28"/>
              </w:rPr>
              <w:t>机制检查</w:t>
            </w:r>
          </w:p>
        </w:tc>
      </w:tr>
      <w:tr w:rsidR="00771207" w:rsidRPr="00E51E05" w:rsidTr="00771207">
        <w:trPr>
          <w:trHeight w:val="855"/>
        </w:trPr>
        <w:tc>
          <w:tcPr>
            <w:tcW w:w="8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主管部门及代码</w:t>
            </w:r>
          </w:p>
        </w:tc>
        <w:tc>
          <w:tcPr>
            <w:tcW w:w="1503"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B087A" w:rsidP="00E51E05">
            <w:pPr>
              <w:widowControl/>
              <w:jc w:val="center"/>
              <w:rPr>
                <w:rFonts w:ascii="宋体" w:eastAsia="宋体" w:hAnsi="宋体" w:cs="宋体"/>
                <w:kern w:val="0"/>
                <w:sz w:val="28"/>
                <w:szCs w:val="28"/>
              </w:rPr>
            </w:pPr>
            <w:r>
              <w:rPr>
                <w:rFonts w:ascii="宋体" w:eastAsia="宋体" w:hAnsi="宋体" w:cs="宋体" w:hint="eastAsia"/>
                <w:kern w:val="0"/>
                <w:sz w:val="28"/>
                <w:szCs w:val="28"/>
              </w:rPr>
              <w:t>北京</w:t>
            </w:r>
            <w:r>
              <w:rPr>
                <w:rFonts w:ascii="宋体" w:eastAsia="宋体" w:hAnsi="宋体" w:cs="宋体"/>
                <w:kern w:val="0"/>
                <w:sz w:val="28"/>
                <w:szCs w:val="28"/>
              </w:rPr>
              <w:t>市公用工程质量监督</w:t>
            </w:r>
            <w:r>
              <w:rPr>
                <w:rFonts w:ascii="宋体" w:eastAsia="宋体" w:hAnsi="宋体" w:cs="宋体" w:hint="eastAsia"/>
                <w:kern w:val="0"/>
                <w:sz w:val="28"/>
                <w:szCs w:val="28"/>
              </w:rPr>
              <w:t>站021304</w:t>
            </w:r>
          </w:p>
        </w:tc>
        <w:tc>
          <w:tcPr>
            <w:tcW w:w="1904"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实施单位</w:t>
            </w:r>
          </w:p>
        </w:tc>
        <w:tc>
          <w:tcPr>
            <w:tcW w:w="733" w:type="pct"/>
            <w:tcBorders>
              <w:top w:val="nil"/>
              <w:left w:val="nil"/>
              <w:bottom w:val="single" w:sz="4" w:space="0" w:color="auto"/>
              <w:right w:val="single" w:sz="4" w:space="0" w:color="auto"/>
            </w:tcBorders>
            <w:shd w:val="clear" w:color="auto" w:fill="auto"/>
            <w:vAlign w:val="center"/>
            <w:hideMark/>
          </w:tcPr>
          <w:p w:rsidR="00E51E05" w:rsidRPr="00E51E05" w:rsidRDefault="00EB087A" w:rsidP="00E51E05">
            <w:pPr>
              <w:widowControl/>
              <w:jc w:val="center"/>
              <w:rPr>
                <w:rFonts w:ascii="宋体" w:eastAsia="宋体" w:hAnsi="宋体" w:cs="宋体"/>
                <w:kern w:val="0"/>
                <w:sz w:val="24"/>
                <w:szCs w:val="24"/>
              </w:rPr>
            </w:pPr>
            <w:r>
              <w:rPr>
                <w:rFonts w:ascii="宋体" w:eastAsia="宋体" w:hAnsi="宋体" w:cs="宋体" w:hint="eastAsia"/>
                <w:kern w:val="0"/>
                <w:sz w:val="28"/>
                <w:szCs w:val="28"/>
              </w:rPr>
              <w:t>管线</w:t>
            </w:r>
            <w:r>
              <w:rPr>
                <w:rFonts w:ascii="宋体" w:eastAsia="宋体" w:hAnsi="宋体" w:cs="宋体"/>
                <w:kern w:val="0"/>
                <w:sz w:val="28"/>
                <w:szCs w:val="28"/>
              </w:rPr>
              <w:t>办</w:t>
            </w:r>
            <w:r w:rsidR="00E51E05" w:rsidRPr="00E51E05">
              <w:rPr>
                <w:rFonts w:ascii="宋体" w:eastAsia="宋体" w:hAnsi="宋体" w:cs="宋体" w:hint="eastAsia"/>
                <w:kern w:val="0"/>
                <w:sz w:val="28"/>
                <w:szCs w:val="28"/>
              </w:rPr>
              <w:t xml:space="preserve"> </w:t>
            </w:r>
          </w:p>
        </w:tc>
      </w:tr>
      <w:tr w:rsidR="00771207" w:rsidRPr="00E51E05" w:rsidTr="00771207">
        <w:trPr>
          <w:trHeight w:val="600"/>
        </w:trPr>
        <w:tc>
          <w:tcPr>
            <w:tcW w:w="8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项目属性</w:t>
            </w:r>
          </w:p>
        </w:tc>
        <w:tc>
          <w:tcPr>
            <w:tcW w:w="1503"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 xml:space="preserve">　</w:t>
            </w:r>
            <w:r w:rsidR="00EB087A">
              <w:rPr>
                <w:rFonts w:ascii="宋体" w:eastAsia="宋体" w:hAnsi="宋体" w:cs="宋体" w:hint="eastAsia"/>
                <w:kern w:val="0"/>
                <w:sz w:val="28"/>
                <w:szCs w:val="28"/>
              </w:rPr>
              <w:t>经</w:t>
            </w:r>
            <w:r w:rsidR="00EB087A">
              <w:rPr>
                <w:rFonts w:ascii="宋体" w:eastAsia="宋体" w:hAnsi="宋体" w:cs="宋体"/>
                <w:kern w:val="0"/>
                <w:sz w:val="28"/>
                <w:szCs w:val="28"/>
              </w:rPr>
              <w:t>常</w:t>
            </w:r>
            <w:r w:rsidR="00EB087A">
              <w:rPr>
                <w:rFonts w:ascii="宋体" w:eastAsia="宋体" w:hAnsi="宋体" w:cs="宋体" w:hint="eastAsia"/>
                <w:kern w:val="0"/>
                <w:sz w:val="28"/>
                <w:szCs w:val="28"/>
              </w:rPr>
              <w:t>性</w:t>
            </w:r>
            <w:r w:rsidR="00EB087A">
              <w:rPr>
                <w:rFonts w:ascii="宋体" w:eastAsia="宋体" w:hAnsi="宋体" w:cs="宋体"/>
                <w:kern w:val="0"/>
                <w:sz w:val="28"/>
                <w:szCs w:val="28"/>
              </w:rPr>
              <w:t>项目</w:t>
            </w:r>
          </w:p>
        </w:tc>
        <w:tc>
          <w:tcPr>
            <w:tcW w:w="1904"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项目期</w:t>
            </w:r>
          </w:p>
        </w:tc>
        <w:tc>
          <w:tcPr>
            <w:tcW w:w="733" w:type="pct"/>
            <w:tcBorders>
              <w:top w:val="nil"/>
              <w:left w:val="nil"/>
              <w:bottom w:val="single" w:sz="4" w:space="0" w:color="auto"/>
              <w:right w:val="single" w:sz="4" w:space="0" w:color="auto"/>
            </w:tcBorders>
            <w:shd w:val="clear" w:color="auto" w:fill="auto"/>
            <w:vAlign w:val="center"/>
            <w:hideMark/>
          </w:tcPr>
          <w:p w:rsidR="00E51E05" w:rsidRPr="00E51E05" w:rsidRDefault="007C3F86" w:rsidP="00E51E05">
            <w:pPr>
              <w:widowControl/>
              <w:jc w:val="center"/>
              <w:rPr>
                <w:rFonts w:ascii="宋体" w:eastAsia="宋体" w:hAnsi="宋体" w:cs="宋体"/>
                <w:kern w:val="0"/>
                <w:sz w:val="28"/>
                <w:szCs w:val="28"/>
              </w:rPr>
            </w:pPr>
            <w:r>
              <w:rPr>
                <w:rFonts w:ascii="宋体" w:eastAsia="宋体" w:hAnsi="宋体" w:cs="宋体" w:hint="eastAsia"/>
                <w:kern w:val="0"/>
                <w:sz w:val="28"/>
                <w:szCs w:val="28"/>
              </w:rPr>
              <w:t>长期</w:t>
            </w:r>
          </w:p>
        </w:tc>
      </w:tr>
      <w:tr w:rsidR="00E51E05" w:rsidRPr="00E51E05" w:rsidTr="00771207">
        <w:trPr>
          <w:trHeight w:val="600"/>
        </w:trPr>
        <w:tc>
          <w:tcPr>
            <w:tcW w:w="86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项目资金</w:t>
            </w:r>
            <w:r w:rsidRPr="00E51E05">
              <w:rPr>
                <w:rFonts w:ascii="宋体" w:eastAsia="宋体" w:hAnsi="宋体" w:cs="宋体" w:hint="eastAsia"/>
                <w:kern w:val="0"/>
                <w:sz w:val="28"/>
                <w:szCs w:val="28"/>
              </w:rPr>
              <w:br/>
              <w:t>（万元）</w:t>
            </w:r>
          </w:p>
        </w:tc>
        <w:tc>
          <w:tcPr>
            <w:tcW w:w="780"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中期资金总额：</w:t>
            </w:r>
          </w:p>
        </w:tc>
        <w:tc>
          <w:tcPr>
            <w:tcW w:w="72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p>
        </w:tc>
        <w:tc>
          <w:tcPr>
            <w:tcW w:w="1904"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年度资金总额：</w:t>
            </w:r>
          </w:p>
        </w:tc>
        <w:tc>
          <w:tcPr>
            <w:tcW w:w="733" w:type="pct"/>
            <w:tcBorders>
              <w:top w:val="nil"/>
              <w:left w:val="nil"/>
              <w:bottom w:val="single" w:sz="4" w:space="0" w:color="auto"/>
              <w:right w:val="single" w:sz="4" w:space="0" w:color="auto"/>
            </w:tcBorders>
            <w:shd w:val="clear" w:color="auto" w:fill="auto"/>
            <w:vAlign w:val="center"/>
            <w:hideMark/>
          </w:tcPr>
          <w:p w:rsidR="00E51E05" w:rsidRPr="007C3F86" w:rsidRDefault="007C3F86" w:rsidP="007C3F86">
            <w:pPr>
              <w:widowControl/>
              <w:jc w:val="right"/>
              <w:rPr>
                <w:rFonts w:ascii="宋体" w:eastAsia="宋体" w:hAnsi="宋体" w:cs="宋体"/>
                <w:kern w:val="0"/>
                <w:sz w:val="28"/>
                <w:szCs w:val="28"/>
              </w:rPr>
            </w:pPr>
            <w:r w:rsidRPr="007C3F86">
              <w:rPr>
                <w:rFonts w:ascii="宋体" w:eastAsia="宋体" w:hAnsi="宋体" w:cs="宋体" w:hint="eastAsia"/>
                <w:kern w:val="0"/>
                <w:sz w:val="28"/>
                <w:szCs w:val="28"/>
              </w:rPr>
              <w:t>199.6</w:t>
            </w:r>
            <w:r w:rsidR="00C3320D">
              <w:rPr>
                <w:rFonts w:ascii="宋体" w:eastAsia="宋体" w:hAnsi="宋体" w:cs="宋体" w:hint="eastAsia"/>
                <w:kern w:val="0"/>
                <w:sz w:val="28"/>
                <w:szCs w:val="28"/>
              </w:rPr>
              <w:t>5</w:t>
            </w:r>
            <w:r w:rsidRPr="007C3F86">
              <w:rPr>
                <w:rFonts w:ascii="宋体" w:eastAsia="宋体" w:hAnsi="宋体" w:cs="宋体" w:hint="eastAsia"/>
                <w:kern w:val="0"/>
                <w:sz w:val="28"/>
                <w:szCs w:val="28"/>
              </w:rPr>
              <w:t>万元</w:t>
            </w:r>
            <w:r w:rsidR="00E51E05" w:rsidRPr="007C3F86">
              <w:rPr>
                <w:rFonts w:ascii="宋体" w:eastAsia="宋体" w:hAnsi="宋体" w:cs="宋体" w:hint="eastAsia"/>
                <w:kern w:val="0"/>
                <w:sz w:val="28"/>
                <w:szCs w:val="28"/>
              </w:rPr>
              <w:t xml:space="preserve">　</w:t>
            </w:r>
          </w:p>
        </w:tc>
      </w:tr>
      <w:tr w:rsidR="00E51E05" w:rsidRPr="00E51E05" w:rsidTr="00771207">
        <w:trPr>
          <w:trHeight w:val="600"/>
        </w:trPr>
        <w:tc>
          <w:tcPr>
            <w:tcW w:w="860" w:type="pct"/>
            <w:gridSpan w:val="3"/>
            <w:vMerge/>
            <w:tcBorders>
              <w:top w:val="single" w:sz="4" w:space="0" w:color="auto"/>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noWrap/>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其中：财政拨款</w:t>
            </w:r>
          </w:p>
        </w:tc>
        <w:tc>
          <w:tcPr>
            <w:tcW w:w="72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p>
        </w:tc>
        <w:tc>
          <w:tcPr>
            <w:tcW w:w="1904"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其中：财政拨款</w:t>
            </w:r>
          </w:p>
        </w:tc>
        <w:tc>
          <w:tcPr>
            <w:tcW w:w="733" w:type="pct"/>
            <w:tcBorders>
              <w:top w:val="nil"/>
              <w:left w:val="nil"/>
              <w:bottom w:val="single" w:sz="4" w:space="0" w:color="auto"/>
              <w:right w:val="single" w:sz="4" w:space="0" w:color="auto"/>
            </w:tcBorders>
            <w:shd w:val="clear" w:color="auto" w:fill="auto"/>
            <w:vAlign w:val="center"/>
            <w:hideMark/>
          </w:tcPr>
          <w:p w:rsidR="00E51E05" w:rsidRPr="007C3F86" w:rsidRDefault="007C3F86" w:rsidP="007C3F86">
            <w:pPr>
              <w:widowControl/>
              <w:jc w:val="right"/>
              <w:rPr>
                <w:rFonts w:ascii="宋体" w:eastAsia="宋体" w:hAnsi="宋体" w:cs="宋体"/>
                <w:kern w:val="0"/>
                <w:sz w:val="28"/>
                <w:szCs w:val="28"/>
              </w:rPr>
            </w:pPr>
            <w:r w:rsidRPr="007C3F86">
              <w:rPr>
                <w:rFonts w:ascii="宋体" w:eastAsia="宋体" w:hAnsi="宋体" w:cs="宋体" w:hint="eastAsia"/>
                <w:kern w:val="0"/>
                <w:sz w:val="28"/>
                <w:szCs w:val="28"/>
              </w:rPr>
              <w:t>199.6</w:t>
            </w:r>
            <w:r w:rsidR="00C3320D">
              <w:rPr>
                <w:rFonts w:ascii="宋体" w:eastAsia="宋体" w:hAnsi="宋体" w:cs="宋体" w:hint="eastAsia"/>
                <w:kern w:val="0"/>
                <w:sz w:val="28"/>
                <w:szCs w:val="28"/>
              </w:rPr>
              <w:t>5</w:t>
            </w:r>
            <w:r w:rsidRPr="007C3F86">
              <w:rPr>
                <w:rFonts w:ascii="宋体" w:eastAsia="宋体" w:hAnsi="宋体" w:cs="宋体" w:hint="eastAsia"/>
                <w:kern w:val="0"/>
                <w:sz w:val="28"/>
                <w:szCs w:val="28"/>
              </w:rPr>
              <w:t>万元</w:t>
            </w:r>
            <w:r w:rsidR="00E51E05" w:rsidRPr="007C3F86">
              <w:rPr>
                <w:rFonts w:ascii="宋体" w:eastAsia="宋体" w:hAnsi="宋体" w:cs="宋体" w:hint="eastAsia"/>
                <w:kern w:val="0"/>
                <w:sz w:val="28"/>
                <w:szCs w:val="28"/>
              </w:rPr>
              <w:t xml:space="preserve">　</w:t>
            </w:r>
          </w:p>
        </w:tc>
      </w:tr>
      <w:tr w:rsidR="00E51E05" w:rsidRPr="00E51E05" w:rsidTr="00771207">
        <w:trPr>
          <w:trHeight w:val="600"/>
        </w:trPr>
        <w:tc>
          <w:tcPr>
            <w:tcW w:w="860" w:type="pct"/>
            <w:gridSpan w:val="3"/>
            <w:vMerge/>
            <w:tcBorders>
              <w:top w:val="single" w:sz="4" w:space="0" w:color="auto"/>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noWrap/>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其他资金</w:t>
            </w:r>
          </w:p>
        </w:tc>
        <w:tc>
          <w:tcPr>
            <w:tcW w:w="72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p>
        </w:tc>
        <w:tc>
          <w:tcPr>
            <w:tcW w:w="1904" w:type="pct"/>
            <w:gridSpan w:val="2"/>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其他资金</w:t>
            </w:r>
          </w:p>
        </w:tc>
        <w:tc>
          <w:tcPr>
            <w:tcW w:w="73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right"/>
              <w:rPr>
                <w:rFonts w:ascii="宋体" w:eastAsia="宋体" w:hAnsi="宋体" w:cs="宋体"/>
                <w:kern w:val="0"/>
                <w:sz w:val="28"/>
                <w:szCs w:val="28"/>
              </w:rPr>
            </w:pPr>
            <w:bookmarkStart w:id="0" w:name="_GoBack"/>
            <w:bookmarkEnd w:id="0"/>
            <w:r w:rsidRPr="00E51E05">
              <w:rPr>
                <w:rFonts w:ascii="宋体" w:eastAsia="宋体" w:hAnsi="宋体" w:cs="宋体" w:hint="eastAsia"/>
                <w:kern w:val="0"/>
                <w:sz w:val="28"/>
                <w:szCs w:val="28"/>
              </w:rPr>
              <w:t xml:space="preserve">　</w:t>
            </w:r>
          </w:p>
        </w:tc>
      </w:tr>
      <w:tr w:rsidR="00E51E05" w:rsidRPr="00E51E05" w:rsidTr="00E51E05">
        <w:trPr>
          <w:trHeight w:val="600"/>
        </w:trPr>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总</w:t>
            </w:r>
            <w:r w:rsidRPr="00E51E05">
              <w:rPr>
                <w:rFonts w:ascii="宋体" w:eastAsia="宋体" w:hAnsi="宋体" w:cs="宋体" w:hint="eastAsia"/>
                <w:kern w:val="0"/>
                <w:sz w:val="28"/>
                <w:szCs w:val="28"/>
              </w:rPr>
              <w:br/>
              <w:t>体</w:t>
            </w:r>
            <w:r w:rsidRPr="00E51E05">
              <w:rPr>
                <w:rFonts w:ascii="宋体" w:eastAsia="宋体" w:hAnsi="宋体" w:cs="宋体" w:hint="eastAsia"/>
                <w:kern w:val="0"/>
                <w:sz w:val="28"/>
                <w:szCs w:val="28"/>
              </w:rPr>
              <w:br/>
              <w:t>目</w:t>
            </w:r>
            <w:r w:rsidRPr="00E51E05">
              <w:rPr>
                <w:rFonts w:ascii="宋体" w:eastAsia="宋体" w:hAnsi="宋体" w:cs="宋体" w:hint="eastAsia"/>
                <w:kern w:val="0"/>
                <w:sz w:val="28"/>
                <w:szCs w:val="28"/>
              </w:rPr>
              <w:br/>
              <w:t>标</w:t>
            </w:r>
          </w:p>
        </w:tc>
        <w:tc>
          <w:tcPr>
            <w:tcW w:w="2161" w:type="pct"/>
            <w:gridSpan w:val="4"/>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中期目标（20××年—20××+n年）</w:t>
            </w:r>
          </w:p>
        </w:tc>
        <w:tc>
          <w:tcPr>
            <w:tcW w:w="2637" w:type="pct"/>
            <w:gridSpan w:val="3"/>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年度目标（</w:t>
            </w:r>
            <w:r>
              <w:rPr>
                <w:rFonts w:ascii="宋体" w:eastAsia="宋体" w:hAnsi="宋体" w:cs="宋体" w:hint="eastAsia"/>
                <w:kern w:val="0"/>
                <w:sz w:val="28"/>
                <w:szCs w:val="28"/>
              </w:rPr>
              <w:t>2019</w:t>
            </w:r>
            <w:r w:rsidRPr="00E51E05">
              <w:rPr>
                <w:rFonts w:ascii="宋体" w:eastAsia="宋体" w:hAnsi="宋体" w:cs="宋体" w:hint="eastAsia"/>
                <w:kern w:val="0"/>
                <w:sz w:val="28"/>
                <w:szCs w:val="28"/>
              </w:rPr>
              <w:t>年度）</w:t>
            </w:r>
          </w:p>
        </w:tc>
      </w:tr>
      <w:tr w:rsidR="00E51E05" w:rsidRPr="00E51E05" w:rsidTr="00E51E05">
        <w:trPr>
          <w:trHeight w:val="8190"/>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161" w:type="pct"/>
            <w:gridSpan w:val="4"/>
            <w:tcBorders>
              <w:top w:val="single" w:sz="4" w:space="0" w:color="auto"/>
              <w:left w:val="nil"/>
              <w:bottom w:val="single" w:sz="4" w:space="0" w:color="auto"/>
              <w:right w:val="single" w:sz="4" w:space="0" w:color="auto"/>
            </w:tcBorders>
            <w:shd w:val="clear" w:color="000000" w:fill="FFFFFF"/>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目标1：</w:t>
            </w:r>
            <w:r w:rsidRPr="00E51E05">
              <w:rPr>
                <w:rFonts w:ascii="宋体" w:eastAsia="宋体" w:hAnsi="宋体" w:cs="宋体" w:hint="eastAsia"/>
                <w:kern w:val="0"/>
                <w:sz w:val="28"/>
                <w:szCs w:val="28"/>
              </w:rPr>
              <w:br/>
              <w:t>目标2：</w:t>
            </w:r>
            <w:r w:rsidRPr="00E51E05">
              <w:rPr>
                <w:rFonts w:ascii="宋体" w:eastAsia="宋体" w:hAnsi="宋体" w:cs="宋体" w:hint="eastAsia"/>
                <w:kern w:val="0"/>
                <w:sz w:val="28"/>
                <w:szCs w:val="28"/>
              </w:rPr>
              <w:br/>
              <w:t>目标3:</w:t>
            </w:r>
          </w:p>
        </w:tc>
        <w:tc>
          <w:tcPr>
            <w:tcW w:w="2637" w:type="pct"/>
            <w:gridSpan w:val="3"/>
            <w:tcBorders>
              <w:top w:val="single" w:sz="4" w:space="0" w:color="auto"/>
              <w:left w:val="nil"/>
              <w:bottom w:val="single" w:sz="4" w:space="0" w:color="auto"/>
              <w:right w:val="single" w:sz="4" w:space="0" w:color="auto"/>
            </w:tcBorders>
            <w:shd w:val="clear" w:color="000000" w:fill="FFFFFF"/>
            <w:vAlign w:val="center"/>
            <w:hideMark/>
          </w:tcPr>
          <w:p w:rsidR="00E51E05" w:rsidRPr="00E51E05" w:rsidRDefault="00E51E05" w:rsidP="00E51E05">
            <w:pPr>
              <w:widowControl/>
              <w:rPr>
                <w:rFonts w:ascii="宋体" w:eastAsia="宋体" w:hAnsi="宋体" w:cs="宋体"/>
                <w:kern w:val="0"/>
                <w:sz w:val="20"/>
                <w:szCs w:val="20"/>
              </w:rPr>
            </w:pPr>
            <w:r w:rsidRPr="00E51E05">
              <w:rPr>
                <w:rFonts w:ascii="宋体" w:eastAsia="宋体" w:hAnsi="宋体" w:cs="宋体" w:hint="eastAsia"/>
                <w:kern w:val="0"/>
                <w:sz w:val="20"/>
                <w:szCs w:val="20"/>
              </w:rPr>
              <w:t>1. 挖掘工程地下管线安全防护对接机制检查：通过对挖掘工程地下管线安全防护机制落实情况的检查，督促工程建设、施工单位与地下管线权属单位及时进行对接，提高地下管线运行的安全性。通过本项目的实施，预期的绩效目标是：</w:t>
            </w:r>
            <w:r w:rsidRPr="00E51E05">
              <w:rPr>
                <w:rFonts w:ascii="宋体" w:eastAsia="宋体" w:hAnsi="宋体" w:cs="宋体" w:hint="eastAsia"/>
                <w:kern w:val="0"/>
                <w:sz w:val="20"/>
                <w:szCs w:val="20"/>
              </w:rPr>
              <w:br/>
              <w:t>（1）通过督促检查机制的落实，促进建设、施工单位与管线权属单位挖掘工程地下管线安全防护的对接配合，落实地下管线安全防护措施。</w:t>
            </w:r>
            <w:r w:rsidRPr="00E51E05">
              <w:rPr>
                <w:rFonts w:ascii="宋体" w:eastAsia="宋体" w:hAnsi="宋体" w:cs="宋体" w:hint="eastAsia"/>
                <w:kern w:val="0"/>
                <w:sz w:val="20"/>
                <w:szCs w:val="20"/>
              </w:rPr>
              <w:br/>
              <w:t>（2）在预算年度内，检查组年平均每月现场工作不少于16天。</w:t>
            </w:r>
            <w:r w:rsidRPr="00E51E05">
              <w:rPr>
                <w:rFonts w:ascii="宋体" w:eastAsia="宋体" w:hAnsi="宋体" w:cs="宋体" w:hint="eastAsia"/>
                <w:kern w:val="0"/>
                <w:sz w:val="20"/>
                <w:szCs w:val="20"/>
              </w:rPr>
              <w:br/>
              <w:t>（3）对检查发现的问题现场记录，定期汇总。对发现的问题直接向市市政市容委报告。</w:t>
            </w:r>
            <w:r w:rsidRPr="00E51E05">
              <w:rPr>
                <w:rFonts w:ascii="宋体" w:eastAsia="宋体" w:hAnsi="宋体" w:cs="宋体" w:hint="eastAsia"/>
                <w:kern w:val="0"/>
                <w:sz w:val="20"/>
                <w:szCs w:val="20"/>
              </w:rPr>
              <w:br/>
              <w:t>（4）每月将检查情况向市城管委报《挖掘工程地下管线安全防护工作月报》，每季度汇总检查发现的问题，向市城管委报告，为主管部门制定管线保护政策、通报管线防护情况提供依据。</w:t>
            </w:r>
            <w:r w:rsidRPr="00E51E05">
              <w:rPr>
                <w:rFonts w:ascii="宋体" w:eastAsia="宋体" w:hAnsi="宋体" w:cs="宋体" w:hint="eastAsia"/>
                <w:kern w:val="0"/>
                <w:sz w:val="20"/>
                <w:szCs w:val="20"/>
              </w:rPr>
              <w:br/>
              <w:t>通过开展对接机制落实情况的检查督导，使地下管线挖掘工程的参建单位提高对地下管线安全防护的意识，做好地下管线的安全防护工作，减少因挖掘工程对地下管线安全运行的影响，降低事故率。</w:t>
            </w:r>
            <w:r w:rsidRPr="00E51E05">
              <w:rPr>
                <w:rFonts w:ascii="宋体" w:eastAsia="宋体" w:hAnsi="宋体" w:cs="宋体" w:hint="eastAsia"/>
                <w:kern w:val="0"/>
                <w:sz w:val="20"/>
                <w:szCs w:val="20"/>
              </w:rPr>
              <w:br/>
              <w:t>2. 轨道交通建设地下管线安全防护对接机制检查:通过对轨道交通建设地下管线安全防护机制落实情况的检查，督促工程建设、施工单位与地下管线权属单位及时进行对接，提高地下管线运行的安全性。通过本项目的实施，预期的绩效目标是：</w:t>
            </w:r>
            <w:r w:rsidRPr="00E51E05">
              <w:rPr>
                <w:rFonts w:ascii="宋体" w:eastAsia="宋体" w:hAnsi="宋体" w:cs="宋体" w:hint="eastAsia"/>
                <w:kern w:val="0"/>
                <w:sz w:val="20"/>
                <w:szCs w:val="20"/>
              </w:rPr>
              <w:br/>
              <w:t>（1）通过督促检查机制的落实，促进建设、施工单位与管线权属单位在全市轨道交通建设过程中对地下管线安全防护的对接配合，落实地下管线安全防护措施。</w:t>
            </w:r>
            <w:r w:rsidRPr="00E51E05">
              <w:rPr>
                <w:rFonts w:ascii="宋体" w:eastAsia="宋体" w:hAnsi="宋体" w:cs="宋体" w:hint="eastAsia"/>
                <w:kern w:val="0"/>
                <w:sz w:val="20"/>
                <w:szCs w:val="20"/>
              </w:rPr>
              <w:br/>
              <w:t>（2）在预算年度内，检查组平均每月现场工作不少于16天，对在施轨道交通建设的每一标段年平均实施不少于3次的巡回抽查。</w:t>
            </w:r>
            <w:r w:rsidRPr="00E51E05">
              <w:rPr>
                <w:rFonts w:ascii="宋体" w:eastAsia="宋体" w:hAnsi="宋体" w:cs="宋体" w:hint="eastAsia"/>
                <w:kern w:val="0"/>
                <w:sz w:val="20"/>
                <w:szCs w:val="20"/>
              </w:rPr>
              <w:br/>
              <w:t>（3）对检查发现的问题现场告之建设单位、施工单位、监理单位，要求问题责任单位组织进行整改，保证管线防护措施的落实。</w:t>
            </w:r>
            <w:r w:rsidRPr="00E51E05">
              <w:rPr>
                <w:rFonts w:ascii="宋体" w:eastAsia="宋体" w:hAnsi="宋体" w:cs="宋体" w:hint="eastAsia"/>
                <w:kern w:val="0"/>
                <w:sz w:val="20"/>
                <w:szCs w:val="20"/>
              </w:rPr>
              <w:br/>
              <w:t>（4）统计轨道交通建设地下管线安全防护月度改移和防护工作进度。</w:t>
            </w:r>
            <w:r w:rsidRPr="00E51E05">
              <w:rPr>
                <w:rFonts w:ascii="宋体" w:eastAsia="宋体" w:hAnsi="宋体" w:cs="宋体" w:hint="eastAsia"/>
                <w:kern w:val="0"/>
                <w:sz w:val="20"/>
                <w:szCs w:val="20"/>
              </w:rPr>
              <w:br/>
              <w:t>（5）每月将检查、统计情况向市城管委报《轨道交通建设地线管线改移月报》、《轨道交通建设地线管线安全防护监管月报》，每季度汇总检查发现的问题，并向</w:t>
            </w:r>
            <w:r w:rsidRPr="00E51E05">
              <w:rPr>
                <w:rFonts w:ascii="宋体" w:eastAsia="宋体" w:hAnsi="宋体" w:cs="宋体" w:hint="eastAsia"/>
                <w:kern w:val="0"/>
                <w:sz w:val="20"/>
                <w:szCs w:val="20"/>
              </w:rPr>
              <w:lastRenderedPageBreak/>
              <w:t>市公用工程质量监督站报《轨道交通建设地线管线安全防护机制检查季度通报》，根据对检查结果的汇总分析，向市公用工程质量监督站报《轨道交通建设地线管线安全防护季度安全形势分析》，为主管部门制定管线保护政策、通报管线防护情况提供依据。</w:t>
            </w:r>
            <w:r w:rsidRPr="00E51E05">
              <w:rPr>
                <w:rFonts w:ascii="宋体" w:eastAsia="宋体" w:hAnsi="宋体" w:cs="宋体" w:hint="eastAsia"/>
                <w:kern w:val="0"/>
                <w:sz w:val="20"/>
                <w:szCs w:val="20"/>
              </w:rPr>
              <w:br/>
              <w:t>通过开展对接机制落实情况的检查督导，使轨道交通建设的参建单位提高对地下管线安全防护的意识，做好地下管线的安全防护工作，减少因轨道交通建设工程对地下管线安全运行的影响，降低事故率。</w:t>
            </w:r>
            <w:r w:rsidRPr="00E51E05">
              <w:rPr>
                <w:rFonts w:ascii="宋体" w:eastAsia="宋体" w:hAnsi="宋体" w:cs="宋体" w:hint="eastAsia"/>
                <w:kern w:val="0"/>
                <w:sz w:val="20"/>
                <w:szCs w:val="20"/>
              </w:rPr>
              <w:br/>
              <w:t>3. 地下管线安全防护对接信息化系统监管：通过对“挖掘工程地下管线安全防护信息沟通系统”和“轨道交通建设地下管线安全防护信息交互系统”的日常监管，督促工程建设、施工单位与地下管线权属单位及时进行对接，提高地下管线运行的安全性。通过本项目的实施，预期的绩效目标是：</w:t>
            </w:r>
            <w:r w:rsidRPr="00E51E05">
              <w:rPr>
                <w:rFonts w:ascii="宋体" w:eastAsia="宋体" w:hAnsi="宋体" w:cs="宋体" w:hint="eastAsia"/>
                <w:kern w:val="0"/>
                <w:sz w:val="20"/>
                <w:szCs w:val="20"/>
              </w:rPr>
              <w:br/>
              <w:t>（1）对系统进行实时管理。主要包括对挖掘工程地下管线安全防护信息沟通系统中政府机构、建设单位、施工单位、权属单位的注册信息进行审查，对发布的工程建设信息进行核查，对超期未配合的管线权属单位进行催促，督促权属单位与建设单位进行对接。对轨道交通建设地下管线安全防护信息交互系统相关单位提供的信息及对接工作开展情况进行实时管理。</w:t>
            </w:r>
            <w:r w:rsidRPr="00E51E05">
              <w:rPr>
                <w:rFonts w:ascii="宋体" w:eastAsia="宋体" w:hAnsi="宋体" w:cs="宋体" w:hint="eastAsia"/>
                <w:kern w:val="0"/>
                <w:sz w:val="20"/>
                <w:szCs w:val="20"/>
              </w:rPr>
              <w:br/>
              <w:t>（2）对“城市管理信息化平台”中发布的挖掘工程信息汇集与共享内容督促管线权属单位查收。</w:t>
            </w:r>
            <w:r w:rsidRPr="00E51E05">
              <w:rPr>
                <w:rFonts w:ascii="宋体" w:eastAsia="宋体" w:hAnsi="宋体" w:cs="宋体" w:hint="eastAsia"/>
                <w:kern w:val="0"/>
                <w:sz w:val="20"/>
                <w:szCs w:val="20"/>
              </w:rPr>
              <w:br/>
              <w:t>（3）定期对市行业主管部门提供的地下挖掘工程相关信息进行梳理、筛选、整理并发布。</w:t>
            </w:r>
            <w:r w:rsidRPr="00E51E05">
              <w:rPr>
                <w:rFonts w:ascii="宋体" w:eastAsia="宋体" w:hAnsi="宋体" w:cs="宋体" w:hint="eastAsia"/>
                <w:kern w:val="0"/>
                <w:sz w:val="20"/>
                <w:szCs w:val="20"/>
              </w:rPr>
              <w:br/>
              <w:t>（4）对上述工作情况定期进行汇总分析并向买方报告。</w:t>
            </w:r>
            <w:r w:rsidRPr="00E51E05">
              <w:rPr>
                <w:rFonts w:ascii="宋体" w:eastAsia="宋体" w:hAnsi="宋体" w:cs="宋体" w:hint="eastAsia"/>
                <w:kern w:val="0"/>
                <w:sz w:val="20"/>
                <w:szCs w:val="20"/>
              </w:rPr>
              <w:br/>
              <w:t>通过对地下管线安全防护对接信息化系统的监管，使管线权属单位了解挖掘工程和轨道交通建设工程施工信息，促进工程建设单位、施工单位与管线权属单位的对接配合，做好地下管线的安全防护工作，减少因挖掘工程和轨道交通建设工程对地下管线安全运行的影响，降低事故率。</w:t>
            </w:r>
          </w:p>
        </w:tc>
      </w:tr>
      <w:tr w:rsidR="00771207" w:rsidRPr="00E51E05" w:rsidTr="00280609">
        <w:trPr>
          <w:trHeight w:val="1553"/>
        </w:trPr>
        <w:tc>
          <w:tcPr>
            <w:tcW w:w="202" w:type="pct"/>
            <w:vMerge w:val="restart"/>
            <w:tcBorders>
              <w:top w:val="single" w:sz="4" w:space="0" w:color="auto"/>
              <w:left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lastRenderedPageBreak/>
              <w:t>绩</w:t>
            </w:r>
            <w:r w:rsidRPr="00E51E05">
              <w:rPr>
                <w:rFonts w:ascii="宋体" w:eastAsia="宋体" w:hAnsi="宋体" w:cs="宋体" w:hint="eastAsia"/>
                <w:kern w:val="0"/>
                <w:sz w:val="28"/>
                <w:szCs w:val="28"/>
              </w:rPr>
              <w:br/>
              <w:t>效</w:t>
            </w:r>
            <w:r w:rsidRPr="00E51E05">
              <w:rPr>
                <w:rFonts w:ascii="宋体" w:eastAsia="宋体" w:hAnsi="宋体" w:cs="宋体" w:hint="eastAsia"/>
                <w:kern w:val="0"/>
                <w:sz w:val="28"/>
                <w:szCs w:val="28"/>
              </w:rPr>
              <w:br/>
              <w:t>指</w:t>
            </w:r>
            <w:r w:rsidRPr="00E51E05">
              <w:rPr>
                <w:rFonts w:ascii="宋体" w:eastAsia="宋体" w:hAnsi="宋体" w:cs="宋体" w:hint="eastAsia"/>
                <w:kern w:val="0"/>
                <w:sz w:val="28"/>
                <w:szCs w:val="28"/>
              </w:rPr>
              <w:br/>
              <w:t>标</w:t>
            </w:r>
          </w:p>
        </w:tc>
        <w:tc>
          <w:tcPr>
            <w:tcW w:w="202" w:type="pct"/>
            <w:tcBorders>
              <w:top w:val="single" w:sz="4" w:space="0" w:color="auto"/>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一级</w:t>
            </w:r>
            <w:r w:rsidRPr="00E51E05">
              <w:rPr>
                <w:rFonts w:ascii="宋体" w:eastAsia="宋体" w:hAnsi="宋体" w:cs="宋体" w:hint="eastAsia"/>
                <w:kern w:val="0"/>
                <w:sz w:val="28"/>
                <w:szCs w:val="28"/>
              </w:rPr>
              <w:br/>
              <w:t>指标</w:t>
            </w: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二级</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三级指标</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指标值</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二级</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1450" w:type="pct"/>
            <w:tcBorders>
              <w:top w:val="single" w:sz="4" w:space="0" w:color="auto"/>
              <w:left w:val="nil"/>
              <w:bottom w:val="single" w:sz="4" w:space="0" w:color="auto"/>
              <w:right w:val="nil"/>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三级指标</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指标值</w:t>
            </w:r>
          </w:p>
        </w:tc>
      </w:tr>
      <w:tr w:rsidR="00771207" w:rsidRPr="00E51E05" w:rsidTr="0077190B">
        <w:trPr>
          <w:trHeight w:val="585"/>
        </w:trPr>
        <w:tc>
          <w:tcPr>
            <w:tcW w:w="202" w:type="pct"/>
            <w:vMerge/>
            <w:tcBorders>
              <w:left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val="restart"/>
            <w:tcBorders>
              <w:top w:val="nil"/>
              <w:left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产</w:t>
            </w:r>
            <w:r w:rsidRPr="00E51E05">
              <w:rPr>
                <w:rFonts w:ascii="宋体" w:eastAsia="宋体" w:hAnsi="宋体" w:cs="宋体" w:hint="eastAsia"/>
                <w:kern w:val="0"/>
                <w:sz w:val="28"/>
                <w:szCs w:val="28"/>
              </w:rPr>
              <w:br/>
              <w:t>出</w:t>
            </w:r>
            <w:r w:rsidRPr="00E51E05">
              <w:rPr>
                <w:rFonts w:ascii="宋体" w:eastAsia="宋体" w:hAnsi="宋体" w:cs="宋体" w:hint="eastAsia"/>
                <w:kern w:val="0"/>
                <w:sz w:val="28"/>
                <w:szCs w:val="28"/>
              </w:rPr>
              <w:br/>
              <w:t>指</w:t>
            </w:r>
            <w:r w:rsidRPr="00E51E05">
              <w:rPr>
                <w:rFonts w:ascii="宋体" w:eastAsia="宋体" w:hAnsi="宋体" w:cs="宋体" w:hint="eastAsia"/>
                <w:kern w:val="0"/>
                <w:sz w:val="28"/>
                <w:szCs w:val="28"/>
              </w:rPr>
              <w:br/>
              <w:t>标</w:t>
            </w:r>
          </w:p>
        </w:tc>
        <w:tc>
          <w:tcPr>
            <w:tcW w:w="456" w:type="pct"/>
            <w:vMerge w:val="restart"/>
            <w:tcBorders>
              <w:top w:val="nil"/>
              <w:left w:val="single" w:sz="4" w:space="0" w:color="auto"/>
              <w:bottom w:val="nil"/>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数量</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nil"/>
              <w:left w:val="nil"/>
              <w:bottom w:val="single" w:sz="4" w:space="0" w:color="auto"/>
              <w:right w:val="single" w:sz="4" w:space="0" w:color="auto"/>
            </w:tcBorders>
            <w:shd w:val="clear" w:color="auto" w:fill="auto"/>
            <w:vAlign w:val="center"/>
            <w:hideMark/>
          </w:tcPr>
          <w:p w:rsidR="00771207"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目标一</w:t>
            </w:r>
          </w:p>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相应数量指标</w:t>
            </w:r>
          </w:p>
        </w:tc>
        <w:tc>
          <w:tcPr>
            <w:tcW w:w="723"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roofErr w:type="gramStart"/>
            <w:r w:rsidRPr="00E51E05">
              <w:rPr>
                <w:rFonts w:ascii="宋体" w:eastAsia="宋体" w:hAnsi="宋体" w:cs="宋体" w:hint="eastAsia"/>
                <w:color w:val="000000"/>
                <w:kern w:val="0"/>
                <w:sz w:val="28"/>
                <w:szCs w:val="28"/>
              </w:rPr>
              <w:t>个</w:t>
            </w:r>
            <w:proofErr w:type="gramEnd"/>
          </w:p>
        </w:tc>
        <w:tc>
          <w:tcPr>
            <w:tcW w:w="454" w:type="pct"/>
            <w:vMerge w:val="restart"/>
            <w:tcBorders>
              <w:top w:val="nil"/>
              <w:left w:val="single" w:sz="4" w:space="0" w:color="auto"/>
              <w:bottom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数量</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1450" w:type="pct"/>
            <w:tcBorders>
              <w:top w:val="nil"/>
              <w:left w:val="nil"/>
              <w:bottom w:val="single" w:sz="4" w:space="0" w:color="auto"/>
              <w:right w:val="nil"/>
            </w:tcBorders>
            <w:shd w:val="clear" w:color="auto" w:fill="auto"/>
            <w:vAlign w:val="center"/>
            <w:hideMark/>
          </w:tcPr>
          <w:p w:rsidR="00771207" w:rsidRPr="00E51E05" w:rsidRDefault="00771207" w:rsidP="00E51E05">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在预算年度内，挖掘工程地下管线安全防护对接机制检查组年平均每月现场工作不少于16天。</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16天/月</w:t>
            </w:r>
          </w:p>
        </w:tc>
      </w:tr>
      <w:tr w:rsidR="00771207" w:rsidRPr="00E51E05" w:rsidTr="0077190B">
        <w:trPr>
          <w:trHeight w:val="585"/>
        </w:trPr>
        <w:tc>
          <w:tcPr>
            <w:tcW w:w="202" w:type="pct"/>
            <w:vMerge/>
            <w:tcBorders>
              <w:left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tcBorders>
              <w:left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456" w:type="pct"/>
            <w:vMerge/>
            <w:tcBorders>
              <w:top w:val="nil"/>
              <w:left w:val="single" w:sz="4" w:space="0" w:color="auto"/>
              <w:bottom w:val="nil"/>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vAlign w:val="center"/>
            <w:hideMark/>
          </w:tcPr>
          <w:p w:rsidR="00771207"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目标二</w:t>
            </w:r>
          </w:p>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相应数量指标</w:t>
            </w:r>
          </w:p>
        </w:tc>
        <w:tc>
          <w:tcPr>
            <w:tcW w:w="723"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roofErr w:type="gramStart"/>
            <w:r w:rsidRPr="00E51E05">
              <w:rPr>
                <w:rFonts w:ascii="宋体" w:eastAsia="宋体" w:hAnsi="宋体" w:cs="宋体" w:hint="eastAsia"/>
                <w:color w:val="000000"/>
                <w:kern w:val="0"/>
                <w:sz w:val="28"/>
                <w:szCs w:val="28"/>
              </w:rPr>
              <w:t>个</w:t>
            </w:r>
            <w:proofErr w:type="gramEnd"/>
          </w:p>
        </w:tc>
        <w:tc>
          <w:tcPr>
            <w:tcW w:w="454"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1450" w:type="pct"/>
            <w:tcBorders>
              <w:top w:val="nil"/>
              <w:left w:val="nil"/>
              <w:bottom w:val="single" w:sz="4" w:space="0" w:color="auto"/>
              <w:right w:val="nil"/>
            </w:tcBorders>
            <w:shd w:val="clear" w:color="auto" w:fill="auto"/>
            <w:vAlign w:val="center"/>
            <w:hideMark/>
          </w:tcPr>
          <w:p w:rsidR="00771207" w:rsidRPr="00E51E05" w:rsidRDefault="00771207" w:rsidP="00E51E05">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在预算年度内，轨道交通建设地下管线安全防护对接机制检查组平均每月现场工作不少于16天，对在施轨道交通建设的每一标段年平均实施不少于3次的巡回抽查。</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16天/月</w:t>
            </w:r>
          </w:p>
        </w:tc>
      </w:tr>
      <w:tr w:rsidR="00771207" w:rsidRPr="00E51E05" w:rsidTr="0077190B">
        <w:trPr>
          <w:trHeight w:val="585"/>
        </w:trPr>
        <w:tc>
          <w:tcPr>
            <w:tcW w:w="202" w:type="pct"/>
            <w:vMerge/>
            <w:tcBorders>
              <w:left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tcBorders>
              <w:left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456"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vAlign w:val="center"/>
            <w:hideMark/>
          </w:tcPr>
          <w:p w:rsidR="00771207"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目标三</w:t>
            </w:r>
          </w:p>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相应数量指标</w:t>
            </w:r>
          </w:p>
        </w:tc>
        <w:tc>
          <w:tcPr>
            <w:tcW w:w="723"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roofErr w:type="gramStart"/>
            <w:r w:rsidRPr="00E51E05">
              <w:rPr>
                <w:rFonts w:ascii="宋体" w:eastAsia="宋体" w:hAnsi="宋体" w:cs="宋体" w:hint="eastAsia"/>
                <w:color w:val="000000"/>
                <w:kern w:val="0"/>
                <w:sz w:val="28"/>
                <w:szCs w:val="28"/>
              </w:rPr>
              <w:t>个</w:t>
            </w:r>
            <w:proofErr w:type="gramEnd"/>
          </w:p>
        </w:tc>
        <w:tc>
          <w:tcPr>
            <w:tcW w:w="454"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1450" w:type="pct"/>
            <w:tcBorders>
              <w:top w:val="nil"/>
              <w:left w:val="nil"/>
              <w:bottom w:val="single" w:sz="4" w:space="0" w:color="auto"/>
              <w:right w:val="nil"/>
            </w:tcBorders>
            <w:shd w:val="clear" w:color="auto" w:fill="auto"/>
            <w:vAlign w:val="center"/>
            <w:hideMark/>
          </w:tcPr>
          <w:p w:rsidR="00771207" w:rsidRPr="00E51E05" w:rsidRDefault="00771207" w:rsidP="00E51E05">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地下管线安全防护对接信息化系统监管组对系统进行实时管理。</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实时</w:t>
            </w:r>
          </w:p>
        </w:tc>
      </w:tr>
      <w:tr w:rsidR="00771207" w:rsidRPr="00E51E05" w:rsidTr="00771207">
        <w:trPr>
          <w:trHeight w:val="1680"/>
        </w:trPr>
        <w:tc>
          <w:tcPr>
            <w:tcW w:w="202" w:type="pct"/>
            <w:vMerge/>
            <w:tcBorders>
              <w:top w:val="single" w:sz="4" w:space="0" w:color="auto"/>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tcBorders>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质量</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rsidR="00771207"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目标一</w:t>
            </w:r>
          </w:p>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相应质量指标</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质量</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1450" w:type="pct"/>
            <w:tcBorders>
              <w:top w:val="single" w:sz="4" w:space="0" w:color="auto"/>
              <w:left w:val="nil"/>
              <w:bottom w:val="single" w:sz="4" w:space="0" w:color="auto"/>
              <w:right w:val="nil"/>
            </w:tcBorders>
            <w:shd w:val="clear" w:color="auto" w:fill="auto"/>
            <w:vAlign w:val="center"/>
            <w:hideMark/>
          </w:tcPr>
          <w:p w:rsidR="00771207" w:rsidRPr="00E51E05" w:rsidRDefault="00771207" w:rsidP="00E51E05">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挖掘工程地下管线安全防护对接机制检查组和信息监管组每月将检查情况向市公用工程质量监督站报《挖掘工程地下管线安全防护工作月报》，每季度汇总检查发现的问题，向市公用工程质量监督站报告。</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份/月、份/季度</w:t>
            </w:r>
          </w:p>
        </w:tc>
      </w:tr>
      <w:tr w:rsidR="00E51E05" w:rsidRPr="00E51E05" w:rsidTr="00771207">
        <w:trPr>
          <w:trHeight w:val="585"/>
        </w:trPr>
        <w:tc>
          <w:tcPr>
            <w:tcW w:w="202" w:type="pct"/>
            <w:vMerge/>
            <w:tcBorders>
              <w:top w:val="single" w:sz="4" w:space="0" w:color="auto"/>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val="restart"/>
            <w:tcBorders>
              <w:top w:val="single" w:sz="4" w:space="0" w:color="auto"/>
              <w:left w:val="single" w:sz="4" w:space="0" w:color="auto"/>
              <w:bottom w:val="nil"/>
              <w:right w:val="single" w:sz="4" w:space="0" w:color="auto"/>
            </w:tcBorders>
            <w:vAlign w:val="center"/>
            <w:hideMark/>
          </w:tcPr>
          <w:p w:rsidR="00E51E05" w:rsidRPr="00E51E05" w:rsidRDefault="00E51E05" w:rsidP="00E51E05">
            <w:pPr>
              <w:jc w:val="center"/>
              <w:rPr>
                <w:rFonts w:ascii="宋体" w:eastAsia="宋体" w:hAnsi="宋体" w:cs="宋体"/>
                <w:kern w:val="0"/>
                <w:sz w:val="28"/>
                <w:szCs w:val="28"/>
              </w:rPr>
            </w:pPr>
          </w:p>
        </w:tc>
        <w:tc>
          <w:tcPr>
            <w:tcW w:w="780" w:type="pct"/>
            <w:tcBorders>
              <w:top w:val="single" w:sz="4" w:space="0" w:color="auto"/>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二相应</w:t>
            </w:r>
            <w:proofErr w:type="gramEnd"/>
            <w:r w:rsidRPr="00E51E05">
              <w:rPr>
                <w:rFonts w:ascii="宋体" w:eastAsia="宋体" w:hAnsi="宋体" w:cs="宋体" w:hint="eastAsia"/>
                <w:kern w:val="0"/>
                <w:sz w:val="28"/>
                <w:szCs w:val="28"/>
              </w:rPr>
              <w:t>质量指标</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
        </w:tc>
        <w:tc>
          <w:tcPr>
            <w:tcW w:w="454" w:type="pct"/>
            <w:vMerge w:val="restart"/>
            <w:tcBorders>
              <w:top w:val="single" w:sz="4" w:space="0" w:color="auto"/>
              <w:left w:val="single" w:sz="4" w:space="0" w:color="auto"/>
              <w:bottom w:val="nil"/>
              <w:right w:val="single" w:sz="4" w:space="0" w:color="auto"/>
            </w:tcBorders>
            <w:vAlign w:val="center"/>
            <w:hideMark/>
          </w:tcPr>
          <w:p w:rsidR="00E51E05" w:rsidRPr="00E51E05" w:rsidRDefault="00E51E05" w:rsidP="00E51E05">
            <w:pPr>
              <w:jc w:val="center"/>
              <w:rPr>
                <w:rFonts w:ascii="宋体" w:eastAsia="宋体" w:hAnsi="宋体" w:cs="宋体"/>
                <w:kern w:val="0"/>
                <w:sz w:val="28"/>
                <w:szCs w:val="28"/>
              </w:rPr>
            </w:pPr>
          </w:p>
        </w:tc>
        <w:tc>
          <w:tcPr>
            <w:tcW w:w="14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1E05" w:rsidRPr="00E51E05" w:rsidRDefault="00E51E05" w:rsidP="00771207">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轨道交通建设地下管线安全防护对接机制检查组每月统计轨道交通建设地下管线安全防护月度改移和防护工作进度，向市公用工程质量监督站报《轨道交通建设地线管线改移月报》、《轨道交通建设地线管线安全防护监管月报》，每季度汇总检查发现的问题，并向市公用工程质量监督站报《轨道交通建设地线管线安全防护机制检查季度通报》，根据对检查结果的汇总分析，向市公用工程质量监督站报《轨道交通建设地线管线安全防护季度安全形势分析》。</w:t>
            </w:r>
          </w:p>
        </w:tc>
        <w:tc>
          <w:tcPr>
            <w:tcW w:w="73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1E05" w:rsidRPr="00E51E05" w:rsidRDefault="00E51E05" w:rsidP="00771207">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份/月、份/季度</w:t>
            </w: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tcBorders>
              <w:top w:val="single" w:sz="4" w:space="0" w:color="auto"/>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w:t>
            </w:r>
            <w:proofErr w:type="gramStart"/>
            <w:r w:rsidRPr="00E51E05">
              <w:rPr>
                <w:rFonts w:ascii="宋体" w:eastAsia="宋体" w:hAnsi="宋体" w:cs="宋体" w:hint="eastAsia"/>
                <w:color w:val="000000"/>
                <w:kern w:val="0"/>
                <w:sz w:val="28"/>
                <w:szCs w:val="28"/>
              </w:rPr>
              <w:t>三相应</w:t>
            </w:r>
            <w:proofErr w:type="gramEnd"/>
            <w:r w:rsidRPr="00E51E05">
              <w:rPr>
                <w:rFonts w:ascii="宋体" w:eastAsia="宋体" w:hAnsi="宋体" w:cs="宋体" w:hint="eastAsia"/>
                <w:color w:val="000000"/>
                <w:kern w:val="0"/>
                <w:sz w:val="28"/>
                <w:szCs w:val="28"/>
              </w:rPr>
              <w:t>质量指标</w:t>
            </w:r>
          </w:p>
        </w:tc>
        <w:tc>
          <w:tcPr>
            <w:tcW w:w="72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
        </w:tc>
        <w:tc>
          <w:tcPr>
            <w:tcW w:w="454" w:type="pct"/>
            <w:vMerge/>
            <w:tcBorders>
              <w:top w:val="nil"/>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1450"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18"/>
                <w:szCs w:val="18"/>
              </w:rPr>
            </w:pPr>
          </w:p>
        </w:tc>
        <w:tc>
          <w:tcPr>
            <w:tcW w:w="733"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771207">
            <w:pPr>
              <w:widowControl/>
              <w:jc w:val="center"/>
              <w:rPr>
                <w:rFonts w:ascii="宋体" w:eastAsia="宋体" w:hAnsi="宋体" w:cs="宋体"/>
                <w:kern w:val="0"/>
                <w:sz w:val="18"/>
                <w:szCs w:val="18"/>
              </w:rPr>
            </w:pP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val="restart"/>
            <w:tcBorders>
              <w:top w:val="single" w:sz="4" w:space="0" w:color="auto"/>
              <w:left w:val="single" w:sz="4" w:space="0" w:color="auto"/>
              <w:bottom w:val="nil"/>
              <w:right w:val="single" w:sz="4" w:space="0" w:color="auto"/>
            </w:tcBorders>
            <w:shd w:val="clear" w:color="auto" w:fill="auto"/>
            <w:vAlign w:val="center"/>
            <w:hideMark/>
          </w:tcPr>
          <w:p w:rsidR="00771207"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进度</w:t>
            </w:r>
          </w:p>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一</w:t>
            </w:r>
            <w:proofErr w:type="gramEnd"/>
            <w:r w:rsidRPr="00E51E05">
              <w:rPr>
                <w:rFonts w:ascii="宋体" w:eastAsia="宋体" w:hAnsi="宋体" w:cs="宋体" w:hint="eastAsia"/>
                <w:kern w:val="0"/>
                <w:sz w:val="28"/>
                <w:szCs w:val="28"/>
              </w:rPr>
              <w:t>相应进度指标</w:t>
            </w:r>
          </w:p>
        </w:tc>
        <w:tc>
          <w:tcPr>
            <w:tcW w:w="72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≤**小时</w:t>
            </w:r>
          </w:p>
        </w:tc>
        <w:tc>
          <w:tcPr>
            <w:tcW w:w="454" w:type="pct"/>
            <w:vMerge w:val="restart"/>
            <w:tcBorders>
              <w:top w:val="single" w:sz="4" w:space="0" w:color="auto"/>
              <w:left w:val="single" w:sz="4" w:space="0" w:color="auto"/>
              <w:bottom w:val="nil"/>
              <w:right w:val="single" w:sz="4" w:space="0" w:color="auto"/>
            </w:tcBorders>
            <w:shd w:val="clear" w:color="auto" w:fill="auto"/>
            <w:vAlign w:val="center"/>
            <w:hideMark/>
          </w:tcPr>
          <w:p w:rsidR="00771207"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进度</w:t>
            </w:r>
          </w:p>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145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挖掘工程地下管线安全防护对接机制检查组和信息监管组应按月完成现场检查和系统监管工作，并按月、季度上报各项报告。</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771207">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月、季度</w:t>
            </w: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tcBorders>
              <w:top w:val="single" w:sz="4" w:space="0" w:color="auto"/>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二相应</w:t>
            </w:r>
            <w:proofErr w:type="gramEnd"/>
            <w:r w:rsidRPr="00E51E05">
              <w:rPr>
                <w:rFonts w:ascii="宋体" w:eastAsia="宋体" w:hAnsi="宋体" w:cs="宋体" w:hint="eastAsia"/>
                <w:kern w:val="0"/>
                <w:sz w:val="28"/>
                <w:szCs w:val="28"/>
              </w:rPr>
              <w:t>进度指标</w:t>
            </w:r>
          </w:p>
        </w:tc>
        <w:tc>
          <w:tcPr>
            <w:tcW w:w="72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≤**小时</w:t>
            </w:r>
          </w:p>
        </w:tc>
        <w:tc>
          <w:tcPr>
            <w:tcW w:w="454" w:type="pct"/>
            <w:vMerge/>
            <w:tcBorders>
              <w:top w:val="single" w:sz="4" w:space="0" w:color="auto"/>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1450" w:type="pct"/>
            <w:vMerge w:val="restart"/>
            <w:tcBorders>
              <w:top w:val="nil"/>
              <w:left w:val="single" w:sz="4" w:space="0" w:color="auto"/>
              <w:bottom w:val="single" w:sz="4" w:space="0" w:color="000000"/>
              <w:right w:val="single" w:sz="4" w:space="0" w:color="auto"/>
            </w:tcBorders>
            <w:shd w:val="clear" w:color="auto" w:fill="auto"/>
            <w:vAlign w:val="center"/>
            <w:hideMark/>
          </w:tcPr>
          <w:p w:rsidR="00E51E05" w:rsidRPr="00E51E05" w:rsidRDefault="00E51E05" w:rsidP="00771207">
            <w:pPr>
              <w:widowControl/>
              <w:jc w:val="left"/>
              <w:rPr>
                <w:rFonts w:ascii="宋体" w:eastAsia="宋体" w:hAnsi="宋体" w:cs="宋体"/>
                <w:kern w:val="0"/>
                <w:sz w:val="18"/>
                <w:szCs w:val="18"/>
              </w:rPr>
            </w:pPr>
            <w:r w:rsidRPr="00E51E05">
              <w:rPr>
                <w:rFonts w:ascii="宋体" w:eastAsia="宋体" w:hAnsi="宋体" w:cs="宋体" w:hint="eastAsia"/>
                <w:kern w:val="0"/>
                <w:sz w:val="18"/>
                <w:szCs w:val="18"/>
              </w:rPr>
              <w:t>轨道交通建设地下管线安全防护对接机制检查组应按月完成现场机制检查工作，并按月、季度上报各项报告。</w:t>
            </w:r>
          </w:p>
        </w:tc>
        <w:tc>
          <w:tcPr>
            <w:tcW w:w="733" w:type="pct"/>
            <w:vMerge w:val="restart"/>
            <w:tcBorders>
              <w:top w:val="nil"/>
              <w:left w:val="single" w:sz="4" w:space="0" w:color="auto"/>
              <w:bottom w:val="single" w:sz="4" w:space="0" w:color="000000"/>
              <w:right w:val="single" w:sz="4" w:space="0" w:color="auto"/>
            </w:tcBorders>
            <w:shd w:val="clear" w:color="auto" w:fill="auto"/>
            <w:vAlign w:val="center"/>
            <w:hideMark/>
          </w:tcPr>
          <w:p w:rsidR="00E51E05" w:rsidRPr="00E51E05" w:rsidRDefault="00E51E05" w:rsidP="00771207">
            <w:pPr>
              <w:widowControl/>
              <w:jc w:val="center"/>
              <w:rPr>
                <w:rFonts w:ascii="宋体" w:eastAsia="宋体" w:hAnsi="宋体" w:cs="宋体"/>
                <w:kern w:val="0"/>
                <w:sz w:val="18"/>
                <w:szCs w:val="18"/>
              </w:rPr>
            </w:pPr>
            <w:r w:rsidRPr="00E51E05">
              <w:rPr>
                <w:rFonts w:ascii="宋体" w:eastAsia="宋体" w:hAnsi="宋体" w:cs="宋体" w:hint="eastAsia"/>
                <w:kern w:val="0"/>
                <w:sz w:val="18"/>
                <w:szCs w:val="18"/>
              </w:rPr>
              <w:t>月、季度</w:t>
            </w: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tcBorders>
              <w:top w:val="single" w:sz="4" w:space="0" w:color="auto"/>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三相应</w:t>
            </w:r>
            <w:proofErr w:type="gramEnd"/>
            <w:r w:rsidRPr="00E51E05">
              <w:rPr>
                <w:rFonts w:ascii="宋体" w:eastAsia="宋体" w:hAnsi="宋体" w:cs="宋体" w:hint="eastAsia"/>
                <w:kern w:val="0"/>
                <w:sz w:val="28"/>
                <w:szCs w:val="28"/>
              </w:rPr>
              <w:t>进度指标</w:t>
            </w:r>
          </w:p>
        </w:tc>
        <w:tc>
          <w:tcPr>
            <w:tcW w:w="72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≤**小时</w:t>
            </w:r>
          </w:p>
        </w:tc>
        <w:tc>
          <w:tcPr>
            <w:tcW w:w="454" w:type="pct"/>
            <w:vMerge/>
            <w:tcBorders>
              <w:top w:val="single" w:sz="4" w:space="0" w:color="auto"/>
              <w:left w:val="single" w:sz="4" w:space="0" w:color="auto"/>
              <w:bottom w:val="nil"/>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1450"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16"/>
                <w:szCs w:val="16"/>
              </w:rPr>
            </w:pPr>
          </w:p>
        </w:tc>
        <w:tc>
          <w:tcPr>
            <w:tcW w:w="733"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color w:val="000000"/>
                <w:kern w:val="0"/>
                <w:sz w:val="20"/>
                <w:szCs w:val="20"/>
              </w:rPr>
            </w:pP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207"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成本</w:t>
            </w:r>
          </w:p>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一</w:t>
            </w:r>
            <w:proofErr w:type="gramEnd"/>
            <w:r w:rsidRPr="00E51E05">
              <w:rPr>
                <w:rFonts w:ascii="宋体" w:eastAsia="宋体" w:hAnsi="宋体" w:cs="宋体" w:hint="eastAsia"/>
                <w:kern w:val="0"/>
                <w:sz w:val="28"/>
                <w:szCs w:val="28"/>
              </w:rPr>
              <w:t>相应成本指标</w:t>
            </w:r>
          </w:p>
        </w:tc>
        <w:tc>
          <w:tcPr>
            <w:tcW w:w="72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c>
          <w:tcPr>
            <w:tcW w:w="45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成本指标</w:t>
            </w:r>
          </w:p>
        </w:tc>
        <w:tc>
          <w:tcPr>
            <w:tcW w:w="145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一</w:t>
            </w:r>
            <w:proofErr w:type="gramEnd"/>
            <w:r w:rsidRPr="00E51E05">
              <w:rPr>
                <w:rFonts w:ascii="宋体" w:eastAsia="宋体" w:hAnsi="宋体" w:cs="宋体" w:hint="eastAsia"/>
                <w:kern w:val="0"/>
                <w:sz w:val="28"/>
                <w:szCs w:val="28"/>
              </w:rPr>
              <w:t>相应成本指标</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r>
      <w:tr w:rsidR="00E51E05" w:rsidRPr="00E51E05" w:rsidTr="00771207">
        <w:trPr>
          <w:trHeight w:val="585"/>
        </w:trPr>
        <w:tc>
          <w:tcPr>
            <w:tcW w:w="202" w:type="pct"/>
            <w:vMerge/>
            <w:tcBorders>
              <w:top w:val="single" w:sz="4" w:space="0" w:color="auto"/>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w:t>
            </w:r>
            <w:proofErr w:type="gramStart"/>
            <w:r w:rsidRPr="00E51E05">
              <w:rPr>
                <w:rFonts w:ascii="宋体" w:eastAsia="宋体" w:hAnsi="宋体" w:cs="宋体" w:hint="eastAsia"/>
                <w:color w:val="000000"/>
                <w:kern w:val="0"/>
                <w:sz w:val="28"/>
                <w:szCs w:val="28"/>
              </w:rPr>
              <w:t>二相应</w:t>
            </w:r>
            <w:proofErr w:type="gramEnd"/>
            <w:r w:rsidRPr="00E51E05">
              <w:rPr>
                <w:rFonts w:ascii="宋体" w:eastAsia="宋体" w:hAnsi="宋体" w:cs="宋体" w:hint="eastAsia"/>
                <w:color w:val="000000"/>
                <w:kern w:val="0"/>
                <w:sz w:val="28"/>
                <w:szCs w:val="28"/>
              </w:rPr>
              <w:t>成本指标</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c>
          <w:tcPr>
            <w:tcW w:w="454"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1450" w:type="pct"/>
            <w:tcBorders>
              <w:top w:val="single" w:sz="4" w:space="0" w:color="auto"/>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二相应</w:t>
            </w:r>
            <w:proofErr w:type="gramEnd"/>
            <w:r w:rsidRPr="00E51E05">
              <w:rPr>
                <w:rFonts w:ascii="宋体" w:eastAsia="宋体" w:hAnsi="宋体" w:cs="宋体" w:hint="eastAsia"/>
                <w:kern w:val="0"/>
                <w:sz w:val="28"/>
                <w:szCs w:val="28"/>
              </w:rPr>
              <w:t>成本指标</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r>
      <w:tr w:rsidR="00E51E05"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目标</w:t>
            </w:r>
            <w:proofErr w:type="gramStart"/>
            <w:r w:rsidRPr="00E51E05">
              <w:rPr>
                <w:rFonts w:ascii="宋体" w:eastAsia="宋体" w:hAnsi="宋体" w:cs="宋体" w:hint="eastAsia"/>
                <w:color w:val="000000"/>
                <w:kern w:val="0"/>
                <w:sz w:val="28"/>
                <w:szCs w:val="28"/>
              </w:rPr>
              <w:t>三相应</w:t>
            </w:r>
            <w:proofErr w:type="gramEnd"/>
            <w:r w:rsidRPr="00E51E05">
              <w:rPr>
                <w:rFonts w:ascii="宋体" w:eastAsia="宋体" w:hAnsi="宋体" w:cs="宋体" w:hint="eastAsia"/>
                <w:color w:val="000000"/>
                <w:kern w:val="0"/>
                <w:sz w:val="28"/>
                <w:szCs w:val="28"/>
              </w:rPr>
              <w:t>成本指标</w:t>
            </w:r>
          </w:p>
        </w:tc>
        <w:tc>
          <w:tcPr>
            <w:tcW w:w="723" w:type="pct"/>
            <w:tcBorders>
              <w:top w:val="nil"/>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c>
          <w:tcPr>
            <w:tcW w:w="454" w:type="pct"/>
            <w:vMerge/>
            <w:tcBorders>
              <w:top w:val="single" w:sz="4" w:space="0" w:color="auto"/>
              <w:left w:val="single" w:sz="4" w:space="0" w:color="auto"/>
              <w:bottom w:val="single" w:sz="4" w:space="0" w:color="000000"/>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1450" w:type="pct"/>
            <w:tcBorders>
              <w:top w:val="nil"/>
              <w:left w:val="nil"/>
              <w:bottom w:val="single" w:sz="4" w:space="0" w:color="auto"/>
              <w:right w:val="nil"/>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目标</w:t>
            </w:r>
            <w:proofErr w:type="gramStart"/>
            <w:r w:rsidRPr="00E51E05">
              <w:rPr>
                <w:rFonts w:ascii="宋体" w:eastAsia="宋体" w:hAnsi="宋体" w:cs="宋体" w:hint="eastAsia"/>
                <w:kern w:val="0"/>
                <w:sz w:val="28"/>
                <w:szCs w:val="28"/>
              </w:rPr>
              <w:t>三相应</w:t>
            </w:r>
            <w:proofErr w:type="gramEnd"/>
            <w:r w:rsidRPr="00E51E05">
              <w:rPr>
                <w:rFonts w:ascii="宋体" w:eastAsia="宋体" w:hAnsi="宋体" w:cs="宋体" w:hint="eastAsia"/>
                <w:kern w:val="0"/>
                <w:sz w:val="28"/>
                <w:szCs w:val="28"/>
              </w:rPr>
              <w:t>成本指标</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**万元</w:t>
            </w:r>
          </w:p>
        </w:tc>
      </w:tr>
      <w:tr w:rsidR="00771207" w:rsidRPr="00E51E05" w:rsidTr="00DB301B">
        <w:trPr>
          <w:trHeight w:val="585"/>
        </w:trPr>
        <w:tc>
          <w:tcPr>
            <w:tcW w:w="202"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val="restar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效</w:t>
            </w:r>
            <w:r w:rsidRPr="00E51E05">
              <w:rPr>
                <w:rFonts w:ascii="宋体" w:eastAsia="宋体" w:hAnsi="宋体" w:cs="宋体" w:hint="eastAsia"/>
                <w:kern w:val="0"/>
                <w:sz w:val="28"/>
                <w:szCs w:val="28"/>
              </w:rPr>
              <w:br/>
              <w:t>果</w:t>
            </w:r>
            <w:r w:rsidRPr="00E51E05">
              <w:rPr>
                <w:rFonts w:ascii="宋体" w:eastAsia="宋体" w:hAnsi="宋体" w:cs="宋体" w:hint="eastAsia"/>
                <w:kern w:val="0"/>
                <w:sz w:val="28"/>
                <w:szCs w:val="28"/>
              </w:rPr>
              <w:br/>
              <w:t>指</w:t>
            </w:r>
            <w:r w:rsidRPr="00E51E05">
              <w:rPr>
                <w:rFonts w:ascii="宋体" w:eastAsia="宋体" w:hAnsi="宋体" w:cs="宋体" w:hint="eastAsia"/>
                <w:kern w:val="0"/>
                <w:sz w:val="28"/>
                <w:szCs w:val="28"/>
              </w:rPr>
              <w:br/>
              <w:t>标</w:t>
            </w:r>
          </w:p>
        </w:tc>
        <w:tc>
          <w:tcPr>
            <w:tcW w:w="456" w:type="pct"/>
            <w:vMerge w:val="restart"/>
            <w:tcBorders>
              <w:top w:val="nil"/>
              <w:left w:val="single" w:sz="4" w:space="0" w:color="auto"/>
              <w:right w:val="single" w:sz="4" w:space="0" w:color="auto"/>
            </w:tcBorders>
            <w:shd w:val="clear" w:color="auto" w:fill="auto"/>
            <w:vAlign w:val="center"/>
            <w:hideMark/>
          </w:tcPr>
          <w:p w:rsidR="00771207"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效益</w:t>
            </w:r>
          </w:p>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指标</w:t>
            </w:r>
          </w:p>
        </w:tc>
        <w:tc>
          <w:tcPr>
            <w:tcW w:w="780"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**经济性</w:t>
            </w:r>
          </w:p>
        </w:tc>
        <w:tc>
          <w:tcPr>
            <w:tcW w:w="723"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得到提升</w:t>
            </w:r>
          </w:p>
        </w:tc>
        <w:tc>
          <w:tcPr>
            <w:tcW w:w="454" w:type="pct"/>
            <w:vMerge w:val="restart"/>
            <w:tcBorders>
              <w:top w:val="nil"/>
              <w:left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效益指标</w:t>
            </w:r>
          </w:p>
        </w:tc>
        <w:tc>
          <w:tcPr>
            <w:tcW w:w="1450" w:type="pct"/>
            <w:tcBorders>
              <w:top w:val="nil"/>
              <w:left w:val="nil"/>
              <w:bottom w:val="single" w:sz="4" w:space="0" w:color="auto"/>
              <w:right w:val="nil"/>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通过开展挖掘工程地下管线安全防护对接机制落实情况的检查督导，促进建设、施工单位与管线权属单位挖掘工程地下管线安全防护的对接配合，落实地下管线安全防护措施。使地下管线挖掘工程的参建单位提高对地下管线安全防护的意识，做好地下管线的安全防护工作，减少因挖掘工程对地下管线安全运行的影响，降低事故率。</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地下管线防外力破坏安全管理水平得到提升</w:t>
            </w:r>
          </w:p>
        </w:tc>
      </w:tr>
      <w:tr w:rsidR="00771207" w:rsidRPr="00E51E05" w:rsidTr="00771207">
        <w:trPr>
          <w:trHeight w:val="585"/>
        </w:trPr>
        <w:tc>
          <w:tcPr>
            <w:tcW w:w="202"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456" w:type="pct"/>
            <w:vMerge/>
            <w:tcBorders>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780"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left"/>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**社会影响力</w:t>
            </w:r>
          </w:p>
        </w:tc>
        <w:tc>
          <w:tcPr>
            <w:tcW w:w="723" w:type="pct"/>
            <w:tcBorders>
              <w:top w:val="nil"/>
              <w:left w:val="nil"/>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得到提升</w:t>
            </w:r>
          </w:p>
        </w:tc>
        <w:tc>
          <w:tcPr>
            <w:tcW w:w="454" w:type="pct"/>
            <w:vMerge/>
            <w:tcBorders>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1450" w:type="pct"/>
            <w:tcBorders>
              <w:top w:val="nil"/>
              <w:left w:val="nil"/>
              <w:bottom w:val="single" w:sz="4" w:space="0" w:color="auto"/>
              <w:right w:val="nil"/>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通过开展轨道交通建设工程地下管线安全防护对接机制落实情况的检查督导，促进建设、施工单位与管线权属单位在全市轨道交通建设过程中对地下管线安全防护的对接配合，落实地下管线安全防护措施。使轨道交通建设的参建单位提高对地下管线安全防护的意识，做好地下管线的安全防护工作，减少因轨道交通建设工程对地下管线安全运行的影响，降低事故率。</w:t>
            </w:r>
          </w:p>
        </w:tc>
        <w:tc>
          <w:tcPr>
            <w:tcW w:w="733" w:type="pct"/>
            <w:tcBorders>
              <w:top w:val="nil"/>
              <w:left w:val="single" w:sz="4" w:space="0" w:color="auto"/>
              <w:bottom w:val="single" w:sz="4" w:space="0" w:color="auto"/>
              <w:right w:val="single" w:sz="4" w:space="0" w:color="auto"/>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地下管线安全运行、轨道交通建设工程顺利进行。</w:t>
            </w:r>
          </w:p>
        </w:tc>
      </w:tr>
      <w:tr w:rsidR="00771207" w:rsidRPr="00E51E05" w:rsidTr="00771207">
        <w:trPr>
          <w:trHeight w:val="1230"/>
        </w:trPr>
        <w:tc>
          <w:tcPr>
            <w:tcW w:w="202" w:type="pct"/>
            <w:vMerge/>
            <w:tcBorders>
              <w:top w:val="nil"/>
              <w:left w:val="single" w:sz="4" w:space="0" w:color="auto"/>
              <w:bottom w:val="single" w:sz="4" w:space="0" w:color="auto"/>
              <w:right w:val="single" w:sz="4" w:space="0" w:color="auto"/>
            </w:tcBorders>
            <w:vAlign w:val="center"/>
            <w:hideMark/>
          </w:tcPr>
          <w:p w:rsidR="00771207" w:rsidRPr="00E51E05" w:rsidRDefault="00771207" w:rsidP="00E51E05">
            <w:pPr>
              <w:widowControl/>
              <w:jc w:val="left"/>
              <w:rPr>
                <w:rFonts w:ascii="宋体" w:eastAsia="宋体" w:hAnsi="宋体" w:cs="宋体"/>
                <w:kern w:val="0"/>
                <w:sz w:val="28"/>
                <w:szCs w:val="28"/>
              </w:rPr>
            </w:pPr>
          </w:p>
        </w:tc>
        <w:tc>
          <w:tcPr>
            <w:tcW w:w="202" w:type="pct"/>
            <w:vMerge w:val="restart"/>
            <w:tcBorders>
              <w:top w:val="single" w:sz="4" w:space="0" w:color="auto"/>
              <w:left w:val="single" w:sz="4" w:space="0" w:color="auto"/>
              <w:bottom w:val="single" w:sz="4" w:space="0" w:color="auto"/>
              <w:right w:val="single" w:sz="4" w:space="0" w:color="auto"/>
            </w:tcBorders>
            <w:vAlign w:val="center"/>
            <w:hideMark/>
          </w:tcPr>
          <w:p w:rsidR="00771207" w:rsidRPr="00E51E05" w:rsidRDefault="00771207" w:rsidP="00E51E05">
            <w:pPr>
              <w:jc w:val="center"/>
              <w:rPr>
                <w:rFonts w:ascii="宋体" w:eastAsia="宋体" w:hAnsi="宋体" w:cs="宋体"/>
                <w:kern w:val="0"/>
                <w:sz w:val="28"/>
                <w:szCs w:val="28"/>
              </w:rPr>
            </w:pPr>
          </w:p>
        </w:tc>
        <w:tc>
          <w:tcPr>
            <w:tcW w:w="456" w:type="pct"/>
            <w:tcBorders>
              <w:top w:val="single" w:sz="4" w:space="0" w:color="auto"/>
              <w:left w:val="single" w:sz="4" w:space="0" w:color="auto"/>
              <w:bottom w:val="single" w:sz="4" w:space="0" w:color="auto"/>
              <w:right w:val="single" w:sz="4" w:space="0" w:color="auto"/>
            </w:tcBorders>
            <w:vAlign w:val="center"/>
            <w:hideMark/>
          </w:tcPr>
          <w:p w:rsidR="00771207" w:rsidRPr="00E51E05" w:rsidRDefault="00771207" w:rsidP="00E51E05">
            <w:pPr>
              <w:jc w:val="center"/>
              <w:rPr>
                <w:rFonts w:ascii="宋体" w:eastAsia="宋体" w:hAnsi="宋体" w:cs="宋体"/>
                <w:kern w:val="0"/>
                <w:sz w:val="28"/>
                <w:szCs w:val="28"/>
              </w:rPr>
            </w:pPr>
          </w:p>
        </w:tc>
        <w:tc>
          <w:tcPr>
            <w:tcW w:w="780" w:type="pct"/>
            <w:tcBorders>
              <w:top w:val="single" w:sz="4" w:space="0" w:color="auto"/>
              <w:left w:val="nil"/>
              <w:bottom w:val="single" w:sz="4" w:space="0" w:color="auto"/>
              <w:right w:val="nil"/>
            </w:tcBorders>
            <w:shd w:val="clear" w:color="auto" w:fill="auto"/>
            <w:vAlign w:val="center"/>
            <w:hideMark/>
          </w:tcPr>
          <w:p w:rsidR="00771207" w:rsidRPr="00E51E05" w:rsidRDefault="00771207"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**持久度</w:t>
            </w:r>
          </w:p>
        </w:tc>
        <w:tc>
          <w:tcPr>
            <w:tcW w:w="7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Pr="00E51E05" w:rsidRDefault="00771207"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得到提升</w:t>
            </w:r>
          </w:p>
        </w:tc>
        <w:tc>
          <w:tcPr>
            <w:tcW w:w="454" w:type="pct"/>
            <w:tcBorders>
              <w:top w:val="single" w:sz="4" w:space="0" w:color="auto"/>
              <w:left w:val="single" w:sz="4" w:space="0" w:color="auto"/>
              <w:bottom w:val="single" w:sz="4" w:space="0" w:color="auto"/>
              <w:right w:val="single" w:sz="4" w:space="0" w:color="auto"/>
            </w:tcBorders>
            <w:vAlign w:val="center"/>
            <w:hideMark/>
          </w:tcPr>
          <w:p w:rsidR="00771207" w:rsidRPr="00E51E05" w:rsidRDefault="00771207" w:rsidP="00E51E05">
            <w:pPr>
              <w:jc w:val="center"/>
              <w:rPr>
                <w:rFonts w:ascii="宋体" w:eastAsia="宋体" w:hAnsi="宋体" w:cs="宋体"/>
                <w:kern w:val="0"/>
                <w:sz w:val="28"/>
                <w:szCs w:val="28"/>
              </w:rPr>
            </w:pPr>
          </w:p>
        </w:tc>
        <w:tc>
          <w:tcPr>
            <w:tcW w:w="1450" w:type="pct"/>
            <w:tcBorders>
              <w:top w:val="single" w:sz="4" w:space="0" w:color="auto"/>
              <w:left w:val="nil"/>
              <w:bottom w:val="single" w:sz="4" w:space="0" w:color="auto"/>
              <w:right w:val="nil"/>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通过对“挖掘工程地下管线安全防护信息沟通系统”和“轨道交通建设地下管线安全防护信息交互系统”的日常监管，督促工程建设、施工单位与地下管线权属单位及时进行对接，提高地下管线运行的安全性。</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1207" w:rsidRPr="00E51E05" w:rsidRDefault="00771207"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促进建设单位、施工单位和地下管线权属单位对接配合，降低事故发生几率。</w:t>
            </w:r>
          </w:p>
        </w:tc>
      </w:tr>
      <w:tr w:rsidR="00E51E05" w:rsidRPr="00E51E05" w:rsidTr="00771207">
        <w:trPr>
          <w:trHeight w:val="855"/>
        </w:trPr>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202" w:type="pct"/>
            <w:vMerge/>
            <w:tcBorders>
              <w:top w:val="nil"/>
              <w:left w:val="single" w:sz="4" w:space="0" w:color="auto"/>
              <w:bottom w:val="single" w:sz="4" w:space="0" w:color="auto"/>
              <w:right w:val="single" w:sz="4" w:space="0" w:color="auto"/>
            </w:tcBorders>
            <w:vAlign w:val="center"/>
            <w:hideMark/>
          </w:tcPr>
          <w:p w:rsidR="00E51E05" w:rsidRPr="00E51E05" w:rsidRDefault="00E51E05" w:rsidP="00E51E05">
            <w:pPr>
              <w:widowControl/>
              <w:jc w:val="left"/>
              <w:rPr>
                <w:rFonts w:ascii="宋体" w:eastAsia="宋体" w:hAnsi="宋体" w:cs="宋体"/>
                <w:kern w:val="0"/>
                <w:sz w:val="28"/>
                <w:szCs w:val="28"/>
              </w:rPr>
            </w:pPr>
          </w:p>
        </w:tc>
        <w:tc>
          <w:tcPr>
            <w:tcW w:w="456"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服务对象</w:t>
            </w:r>
            <w:r w:rsidRPr="00E51E05">
              <w:rPr>
                <w:rFonts w:ascii="宋体" w:eastAsia="宋体" w:hAnsi="宋体" w:cs="宋体" w:hint="eastAsia"/>
                <w:kern w:val="0"/>
                <w:sz w:val="28"/>
                <w:szCs w:val="28"/>
              </w:rPr>
              <w:br/>
              <w:t>满意度指标</w:t>
            </w:r>
          </w:p>
        </w:tc>
        <w:tc>
          <w:tcPr>
            <w:tcW w:w="780"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left"/>
              <w:rPr>
                <w:rFonts w:ascii="宋体" w:eastAsia="宋体" w:hAnsi="宋体" w:cs="宋体"/>
                <w:kern w:val="0"/>
                <w:sz w:val="28"/>
                <w:szCs w:val="28"/>
              </w:rPr>
            </w:pPr>
            <w:r w:rsidRPr="00E51E05">
              <w:rPr>
                <w:rFonts w:ascii="宋体" w:eastAsia="宋体" w:hAnsi="宋体" w:cs="宋体" w:hint="eastAsia"/>
                <w:kern w:val="0"/>
                <w:sz w:val="28"/>
                <w:szCs w:val="28"/>
              </w:rPr>
              <w:t>相应满意度指标</w:t>
            </w:r>
          </w:p>
        </w:tc>
        <w:tc>
          <w:tcPr>
            <w:tcW w:w="723"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color w:val="000000"/>
                <w:kern w:val="0"/>
                <w:sz w:val="28"/>
                <w:szCs w:val="28"/>
              </w:rPr>
            </w:pPr>
            <w:r w:rsidRPr="00E51E05">
              <w:rPr>
                <w:rFonts w:ascii="宋体" w:eastAsia="宋体" w:hAnsi="宋体" w:cs="宋体" w:hint="eastAsia"/>
                <w:color w:val="000000"/>
                <w:kern w:val="0"/>
                <w:sz w:val="28"/>
                <w:szCs w:val="28"/>
              </w:rPr>
              <w:t>≥**%</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E51E05" w:rsidRPr="00E51E05" w:rsidRDefault="00E51E05" w:rsidP="00E51E05">
            <w:pPr>
              <w:widowControl/>
              <w:jc w:val="center"/>
              <w:rPr>
                <w:rFonts w:ascii="宋体" w:eastAsia="宋体" w:hAnsi="宋体" w:cs="宋体"/>
                <w:kern w:val="0"/>
                <w:sz w:val="28"/>
                <w:szCs w:val="28"/>
              </w:rPr>
            </w:pPr>
            <w:r w:rsidRPr="00E51E05">
              <w:rPr>
                <w:rFonts w:ascii="宋体" w:eastAsia="宋体" w:hAnsi="宋体" w:cs="宋体" w:hint="eastAsia"/>
                <w:kern w:val="0"/>
                <w:sz w:val="28"/>
                <w:szCs w:val="28"/>
              </w:rPr>
              <w:t>服务对象</w:t>
            </w:r>
            <w:r w:rsidRPr="00E51E05">
              <w:rPr>
                <w:rFonts w:ascii="宋体" w:eastAsia="宋体" w:hAnsi="宋体" w:cs="宋体" w:hint="eastAsia"/>
                <w:kern w:val="0"/>
                <w:sz w:val="28"/>
                <w:szCs w:val="28"/>
              </w:rPr>
              <w:br/>
              <w:t>满意度指标</w:t>
            </w:r>
          </w:p>
        </w:tc>
        <w:tc>
          <w:tcPr>
            <w:tcW w:w="1450" w:type="pct"/>
            <w:tcBorders>
              <w:top w:val="single" w:sz="4" w:space="0" w:color="auto"/>
              <w:left w:val="nil"/>
              <w:bottom w:val="single" w:sz="4" w:space="0" w:color="auto"/>
              <w:right w:val="nil"/>
            </w:tcBorders>
            <w:shd w:val="clear" w:color="auto" w:fill="auto"/>
            <w:vAlign w:val="center"/>
            <w:hideMark/>
          </w:tcPr>
          <w:p w:rsidR="00E51E05" w:rsidRPr="00E51E05" w:rsidRDefault="00E51E05"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得到挖掘工程地下管线安全防护信息沟通系统上注册的建设单位和轨道交通工程建设单位、施工单位、监理单位、管线权属单位的认可，现场检查中得到挖掘工程建设单位和施工单位的支持。全年没有投诉。</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51E05" w:rsidRPr="00E51E05" w:rsidRDefault="00E51E05" w:rsidP="00771207">
            <w:pPr>
              <w:widowControl/>
              <w:rPr>
                <w:rFonts w:ascii="宋体" w:eastAsia="宋体" w:hAnsi="宋体" w:cs="宋体"/>
                <w:kern w:val="0"/>
                <w:sz w:val="18"/>
                <w:szCs w:val="18"/>
              </w:rPr>
            </w:pPr>
            <w:r w:rsidRPr="00E51E05">
              <w:rPr>
                <w:rFonts w:ascii="宋体" w:eastAsia="宋体" w:hAnsi="宋体" w:cs="宋体" w:hint="eastAsia"/>
                <w:kern w:val="0"/>
                <w:sz w:val="18"/>
                <w:szCs w:val="18"/>
              </w:rPr>
              <w:t>满意度≥90%</w:t>
            </w:r>
          </w:p>
        </w:tc>
      </w:tr>
    </w:tbl>
    <w:p w:rsidR="00771207" w:rsidRDefault="00771207" w:rsidP="00E51E05">
      <w:pPr>
        <w:jc w:val="left"/>
        <w:rPr>
          <w:rFonts w:asciiTheme="majorEastAsia" w:eastAsiaTheme="majorEastAsia" w:hAnsiTheme="majorEastAsia"/>
          <w:sz w:val="30"/>
          <w:szCs w:val="30"/>
        </w:rPr>
      </w:pPr>
    </w:p>
    <w:p w:rsidR="00E51E05" w:rsidRPr="00E51E05" w:rsidRDefault="00E51E05" w:rsidP="00E51E05">
      <w:pPr>
        <w:jc w:val="left"/>
        <w:rPr>
          <w:rFonts w:asciiTheme="majorEastAsia" w:eastAsiaTheme="majorEastAsia" w:hAnsiTheme="majorEastAsia"/>
          <w:sz w:val="30"/>
          <w:szCs w:val="30"/>
        </w:rPr>
      </w:pPr>
    </w:p>
    <w:sectPr w:rsidR="00E51E05" w:rsidRPr="00E51E05" w:rsidSect="00E51E05">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E05"/>
    <w:rsid w:val="005C7099"/>
    <w:rsid w:val="00771207"/>
    <w:rsid w:val="007C3F86"/>
    <w:rsid w:val="00C04A19"/>
    <w:rsid w:val="00C3320D"/>
    <w:rsid w:val="00E51E05"/>
    <w:rsid w:val="00EB0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E9A212-9946-4940-B830-0645B592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123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515</Words>
  <Characters>2939</Characters>
  <Application>Microsoft Office Word</Application>
  <DocSecurity>0</DocSecurity>
  <Lines>24</Lines>
  <Paragraphs>6</Paragraphs>
  <ScaleCrop>false</ScaleCrop>
  <Company>Microsoft</Company>
  <LinksUpToDate>false</LinksUpToDate>
  <CharactersWithSpaces>3448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2018-07-30T03:01:00Z</dcterms:created>
  <dcterms:modified xsi:type="dcterms:W3CDTF">2018-12-05T01:13:00Z</dcterms:modified>
</cp:coreProperties>
</file>