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008"/>
        <w:gridCol w:w="1571"/>
        <w:gridCol w:w="1206"/>
        <w:gridCol w:w="1333"/>
        <w:gridCol w:w="1661"/>
        <w:gridCol w:w="1316"/>
        <w:gridCol w:w="1701"/>
        <w:gridCol w:w="1559"/>
        <w:gridCol w:w="1560"/>
        <w:gridCol w:w="1417"/>
      </w:tblGrid>
      <w:tr w:rsidR="00172CC2" w:rsidRPr="00172CC2" w:rsidTr="00172CC2">
        <w:trPr>
          <w:trHeight w:val="675"/>
        </w:trPr>
        <w:tc>
          <w:tcPr>
            <w:tcW w:w="14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CC2" w:rsidRPr="00172CC2" w:rsidRDefault="0020589A" w:rsidP="00172CC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20589A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北京市城市管理综合行政执法局</w:t>
            </w:r>
            <w:r w:rsidR="00172CC2" w:rsidRPr="00172CC2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“三公”经费财政拨款预算表</w:t>
            </w:r>
          </w:p>
        </w:tc>
      </w:tr>
      <w:tr w:rsidR="00172CC2" w:rsidRPr="00172CC2" w:rsidTr="00172CC2">
        <w:trPr>
          <w:trHeight w:val="525"/>
        </w:trPr>
        <w:tc>
          <w:tcPr>
            <w:tcW w:w="143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CC2" w:rsidRPr="00172CC2" w:rsidRDefault="00172CC2" w:rsidP="000F5E9B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172CC2">
              <w:rPr>
                <w:rFonts w:ascii="宋体" w:hAnsi="宋体" w:cs="Arial" w:hint="eastAsia"/>
                <w:kern w:val="0"/>
                <w:sz w:val="20"/>
                <w:szCs w:val="20"/>
              </w:rPr>
              <w:t>单位:万元（保留六位小数）</w:t>
            </w:r>
          </w:p>
        </w:tc>
      </w:tr>
      <w:tr w:rsidR="00172CC2" w:rsidRPr="00172CC2" w:rsidTr="00172CC2">
        <w:trPr>
          <w:trHeight w:val="964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172CC2">
              <w:rPr>
                <w:rFonts w:ascii="宋体" w:hAnsi="宋体" w:cs="Arial" w:hint="eastAsia"/>
                <w:kern w:val="0"/>
                <w:sz w:val="22"/>
                <w:szCs w:val="22"/>
              </w:rPr>
              <w:t>年度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172CC2">
              <w:rPr>
                <w:rFonts w:ascii="宋体" w:hAnsi="宋体" w:cs="Arial" w:hint="eastAsia"/>
                <w:kern w:val="0"/>
                <w:sz w:val="22"/>
                <w:szCs w:val="22"/>
              </w:rPr>
              <w:t>“三公”经费财政拨款预算总额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172CC2">
              <w:rPr>
                <w:rFonts w:ascii="宋体" w:hAnsi="宋体" w:cs="Arial" w:hint="eastAsia"/>
                <w:kern w:val="0"/>
                <w:sz w:val="22"/>
                <w:szCs w:val="22"/>
              </w:rPr>
              <w:t>因公出国（境）费用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172CC2">
              <w:rPr>
                <w:rFonts w:ascii="宋体" w:hAnsi="宋体" w:cs="Arial" w:hint="eastAsia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172CC2">
              <w:rPr>
                <w:rFonts w:ascii="宋体" w:hAnsi="宋体" w:cs="Arial" w:hint="eastAsia"/>
                <w:kern w:val="0"/>
                <w:sz w:val="22"/>
                <w:szCs w:val="22"/>
              </w:rPr>
              <w:t>公务用车购置及运行维护费</w:t>
            </w:r>
          </w:p>
        </w:tc>
      </w:tr>
      <w:tr w:rsidR="00172CC2" w:rsidRPr="00172CC2" w:rsidTr="00172CC2">
        <w:trPr>
          <w:trHeight w:val="964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172CC2">
              <w:rPr>
                <w:rFonts w:ascii="宋体" w:hAnsi="宋体" w:cs="Arial" w:hint="eastAsia"/>
                <w:kern w:val="0"/>
                <w:sz w:val="22"/>
                <w:szCs w:val="22"/>
              </w:rPr>
              <w:t>公务用车</w:t>
            </w:r>
          </w:p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172CC2">
              <w:rPr>
                <w:rFonts w:ascii="宋体" w:hAnsi="宋体" w:cs="Arial" w:hint="eastAsia"/>
                <w:kern w:val="0"/>
                <w:sz w:val="22"/>
                <w:szCs w:val="22"/>
              </w:rPr>
              <w:t>购置费</w:t>
            </w:r>
          </w:p>
        </w:tc>
        <w:tc>
          <w:tcPr>
            <w:tcW w:w="7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172CC2">
              <w:rPr>
                <w:rFonts w:ascii="宋体" w:hAnsi="宋体" w:cs="Arial" w:hint="eastAsia"/>
                <w:kern w:val="0"/>
                <w:sz w:val="22"/>
                <w:szCs w:val="22"/>
              </w:rPr>
              <w:t>公务用车运行维护费</w:t>
            </w:r>
          </w:p>
        </w:tc>
      </w:tr>
      <w:tr w:rsidR="00172CC2" w:rsidRPr="00172CC2" w:rsidTr="00172CC2">
        <w:trPr>
          <w:trHeight w:val="964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172CC2">
              <w:rPr>
                <w:rFonts w:ascii="宋体" w:hAnsi="宋体" w:cs="Arial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172CC2">
              <w:rPr>
                <w:rFonts w:ascii="宋体" w:hAnsi="宋体" w:cs="Arial" w:hint="eastAsia"/>
                <w:kern w:val="0"/>
                <w:sz w:val="22"/>
                <w:szCs w:val="22"/>
              </w:rPr>
              <w:t>公务用车加油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172CC2">
              <w:rPr>
                <w:rFonts w:ascii="宋体" w:hAnsi="宋体" w:cs="Arial" w:hint="eastAsia"/>
                <w:kern w:val="0"/>
                <w:sz w:val="22"/>
                <w:szCs w:val="22"/>
              </w:rPr>
              <w:t>公务用车维修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172CC2">
              <w:rPr>
                <w:rFonts w:ascii="宋体" w:hAnsi="宋体" w:cs="Arial" w:hint="eastAsia"/>
                <w:kern w:val="0"/>
                <w:sz w:val="22"/>
                <w:szCs w:val="22"/>
              </w:rPr>
              <w:t>公务用车保险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172CC2">
              <w:rPr>
                <w:rFonts w:ascii="宋体" w:hAnsi="宋体" w:cs="Arial" w:hint="eastAsia"/>
                <w:kern w:val="0"/>
                <w:sz w:val="22"/>
                <w:szCs w:val="22"/>
              </w:rPr>
              <w:t>其他</w:t>
            </w:r>
          </w:p>
        </w:tc>
      </w:tr>
      <w:tr w:rsidR="00172CC2" w:rsidRPr="00172CC2" w:rsidTr="00C54D46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335.600000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59.600000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12.0000000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0.000000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264.000000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139.920000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44.880000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44.880000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34.320000</w:t>
            </w:r>
          </w:p>
        </w:tc>
      </w:tr>
      <w:tr w:rsidR="00172CC2" w:rsidRPr="00172CC2" w:rsidTr="00172CC2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C54D46" w:rsidRDefault="00172CC2" w:rsidP="00C54D46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201</w:t>
            </w:r>
            <w:r w:rsidR="00C54D46"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/>
                <w:kern w:val="0"/>
                <w:sz w:val="22"/>
                <w:szCs w:val="22"/>
              </w:rPr>
              <w:t>213.6</w:t>
            </w: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00000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/>
                <w:kern w:val="0"/>
                <w:sz w:val="22"/>
                <w:szCs w:val="22"/>
              </w:rPr>
              <w:t>51.8</w:t>
            </w: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10.000000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0.000000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151.800000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68.454000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/>
                <w:kern w:val="0"/>
                <w:sz w:val="22"/>
                <w:szCs w:val="22"/>
              </w:rPr>
              <w:t>37.806</w:t>
            </w: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/>
                <w:kern w:val="0"/>
                <w:sz w:val="22"/>
                <w:szCs w:val="22"/>
              </w:rPr>
              <w:t>25.806</w:t>
            </w: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C54D46" w:rsidRDefault="00C54D46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C54D46">
              <w:rPr>
                <w:rFonts w:ascii="宋体" w:hAnsi="宋体" w:cs="Arial"/>
                <w:kern w:val="0"/>
                <w:sz w:val="22"/>
                <w:szCs w:val="22"/>
              </w:rPr>
              <w:t>19.734</w:t>
            </w:r>
            <w:r w:rsidRPr="00C54D46">
              <w:rPr>
                <w:rFonts w:ascii="宋体" w:hAnsi="宋体" w:cs="Arial" w:hint="eastAsia"/>
                <w:kern w:val="0"/>
                <w:sz w:val="22"/>
                <w:szCs w:val="22"/>
              </w:rPr>
              <w:t>000</w:t>
            </w:r>
          </w:p>
        </w:tc>
      </w:tr>
      <w:tr w:rsidR="00172CC2" w:rsidRPr="00172CC2" w:rsidTr="00172CC2">
        <w:trPr>
          <w:trHeight w:val="10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C2" w:rsidRPr="00172CC2" w:rsidRDefault="00172CC2" w:rsidP="00172CC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</w:tbl>
    <w:p w:rsidR="00395AA9" w:rsidRPr="00172CC2" w:rsidRDefault="006D5D14" w:rsidP="00172CC2">
      <w:pPr>
        <w:rPr>
          <w:rFonts w:ascii="仿宋_GB2312" w:eastAsia="仿宋_GB2312"/>
          <w:bCs/>
          <w:szCs w:val="21"/>
        </w:rPr>
      </w:pPr>
      <w:r w:rsidRPr="00172CC2">
        <w:rPr>
          <w:rFonts w:ascii="仿宋_GB2312" w:eastAsia="仿宋_GB2312" w:hint="eastAsia"/>
          <w:bCs/>
          <w:szCs w:val="21"/>
        </w:rPr>
        <w:t>注：“三公经费”财政拨款预算数，是指本部门当年部门预算安排的因公出国（境）费用、公务接待费、公务用车购置和运行维护数（含基本经费和项目经费）。其中公务用车运行维护费包含公务用车燃油、维修、保险及其他共计四项。</w:t>
      </w:r>
    </w:p>
    <w:p w:rsidR="002B272B" w:rsidRDefault="002B272B" w:rsidP="009F55FC">
      <w:pPr>
        <w:rPr>
          <w:rFonts w:ascii="仿宋_GB2312" w:eastAsia="仿宋_GB2312"/>
          <w:bCs/>
          <w:sz w:val="24"/>
        </w:rPr>
      </w:pPr>
    </w:p>
    <w:p w:rsidR="002B272B" w:rsidRDefault="002B272B" w:rsidP="009F55FC">
      <w:pPr>
        <w:rPr>
          <w:rFonts w:ascii="仿宋_GB2312" w:eastAsia="仿宋_GB2312"/>
          <w:bCs/>
          <w:sz w:val="24"/>
        </w:rPr>
      </w:pPr>
    </w:p>
    <w:p w:rsidR="002B272B" w:rsidRDefault="002B272B" w:rsidP="009F55FC">
      <w:pPr>
        <w:rPr>
          <w:rFonts w:ascii="仿宋_GB2312" w:eastAsia="仿宋_GB2312"/>
          <w:bCs/>
          <w:sz w:val="24"/>
        </w:rPr>
        <w:sectPr w:rsidR="002B272B" w:rsidSect="002B272B">
          <w:pgSz w:w="16838" w:h="11906" w:orient="landscape"/>
          <w:pgMar w:top="1588" w:right="1440" w:bottom="1588" w:left="1440" w:header="851" w:footer="992" w:gutter="0"/>
          <w:cols w:space="425"/>
          <w:docGrid w:type="lines" w:linePitch="312"/>
        </w:sectPr>
      </w:pPr>
    </w:p>
    <w:p w:rsidR="002B272B" w:rsidRPr="006D5D14" w:rsidRDefault="002B272B" w:rsidP="009F55FC">
      <w:pPr>
        <w:rPr>
          <w:rFonts w:ascii="仿宋_GB2312" w:eastAsia="仿宋_GB2312"/>
          <w:bCs/>
          <w:sz w:val="24"/>
        </w:rPr>
      </w:pPr>
    </w:p>
    <w:p w:rsidR="006F75D9" w:rsidRDefault="00A62F58" w:rsidP="00C274C1">
      <w:pPr>
        <w:spacing w:line="0" w:lineRule="atLeast"/>
        <w:jc w:val="center"/>
        <w:rPr>
          <w:rFonts w:ascii="方正小标宋简体" w:eastAsia="方正小标宋简体" w:hAnsiTheme="majorEastAsia" w:hint="eastAsia"/>
          <w:sz w:val="36"/>
          <w:szCs w:val="36"/>
        </w:rPr>
      </w:pPr>
      <w:r w:rsidRPr="00172CC2">
        <w:rPr>
          <w:rFonts w:ascii="方正小标宋简体" w:eastAsia="方正小标宋简体" w:hAnsiTheme="majorEastAsia" w:hint="eastAsia"/>
          <w:sz w:val="36"/>
          <w:szCs w:val="36"/>
        </w:rPr>
        <w:t>北京市城市管理综合行政执法局</w:t>
      </w:r>
    </w:p>
    <w:p w:rsidR="00A62F58" w:rsidRPr="00172CC2" w:rsidRDefault="00A62F58" w:rsidP="00C274C1">
      <w:pPr>
        <w:spacing w:line="0" w:lineRule="atLeast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172CC2">
        <w:rPr>
          <w:rFonts w:ascii="方正小标宋简体" w:eastAsia="方正小标宋简体" w:hAnsiTheme="majorEastAsia" w:hint="eastAsia"/>
          <w:sz w:val="36"/>
          <w:szCs w:val="36"/>
        </w:rPr>
        <w:t>201</w:t>
      </w:r>
      <w:r w:rsidR="00C54D46">
        <w:rPr>
          <w:rFonts w:ascii="方正小标宋简体" w:eastAsia="方正小标宋简体" w:hAnsiTheme="majorEastAsia" w:hint="eastAsia"/>
          <w:sz w:val="36"/>
          <w:szCs w:val="36"/>
        </w:rPr>
        <w:t>6</w:t>
      </w:r>
      <w:r w:rsidR="006F75D9">
        <w:rPr>
          <w:rFonts w:ascii="方正小标宋简体" w:eastAsia="方正小标宋简体" w:hAnsiTheme="majorEastAsia" w:hint="eastAsia"/>
          <w:sz w:val="36"/>
          <w:szCs w:val="36"/>
        </w:rPr>
        <w:t>年“</w:t>
      </w:r>
      <w:r w:rsidRPr="00172CC2">
        <w:rPr>
          <w:rFonts w:ascii="方正小标宋简体" w:eastAsia="方正小标宋简体" w:hAnsiTheme="majorEastAsia" w:hint="eastAsia"/>
          <w:sz w:val="36"/>
          <w:szCs w:val="36"/>
        </w:rPr>
        <w:t>三公</w:t>
      </w:r>
      <w:r w:rsidR="006F75D9">
        <w:rPr>
          <w:rFonts w:ascii="方正小标宋简体" w:eastAsia="方正小标宋简体" w:hAnsiTheme="majorEastAsia" w:hint="eastAsia"/>
          <w:sz w:val="36"/>
          <w:szCs w:val="36"/>
        </w:rPr>
        <w:t>”</w:t>
      </w:r>
      <w:r w:rsidRPr="00172CC2">
        <w:rPr>
          <w:rFonts w:ascii="方正小标宋简体" w:eastAsia="方正小标宋简体" w:hAnsiTheme="majorEastAsia" w:hint="eastAsia"/>
          <w:sz w:val="36"/>
          <w:szCs w:val="36"/>
        </w:rPr>
        <w:t>经费预算财政拨款情况的说明</w:t>
      </w:r>
    </w:p>
    <w:p w:rsidR="002D11D1" w:rsidRPr="00A62F58" w:rsidRDefault="002D11D1" w:rsidP="002D11D1">
      <w:pPr>
        <w:jc w:val="center"/>
        <w:rPr>
          <w:rFonts w:ascii="宋体"/>
          <w:b/>
          <w:sz w:val="36"/>
          <w:szCs w:val="36"/>
        </w:rPr>
      </w:pPr>
    </w:p>
    <w:p w:rsidR="002D11D1" w:rsidRPr="00C274C1" w:rsidRDefault="006F75D9" w:rsidP="002D11D1">
      <w:pPr>
        <w:ind w:firstLine="6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一、“</w:t>
      </w:r>
      <w:r w:rsidR="002D11D1" w:rsidRPr="00C274C1">
        <w:rPr>
          <w:rFonts w:ascii="黑体" w:eastAsia="黑体" w:hint="eastAsia"/>
          <w:sz w:val="32"/>
          <w:szCs w:val="32"/>
        </w:rPr>
        <w:t>三公</w:t>
      </w:r>
      <w:r>
        <w:rPr>
          <w:rFonts w:ascii="黑体" w:eastAsia="黑体" w:hint="eastAsia"/>
          <w:sz w:val="32"/>
          <w:szCs w:val="32"/>
        </w:rPr>
        <w:t>”经费</w:t>
      </w:r>
      <w:r w:rsidR="002D11D1" w:rsidRPr="00C274C1">
        <w:rPr>
          <w:rFonts w:ascii="黑体" w:eastAsia="黑体" w:hint="eastAsia"/>
          <w:sz w:val="32"/>
          <w:szCs w:val="32"/>
        </w:rPr>
        <w:t>的单位范围</w:t>
      </w:r>
    </w:p>
    <w:p w:rsidR="002D11D1" w:rsidRPr="00C274C1" w:rsidRDefault="002D11D1" w:rsidP="000E5849">
      <w:pPr>
        <w:ind w:firstLineChars="200" w:firstLine="640"/>
        <w:jc w:val="left"/>
        <w:rPr>
          <w:rFonts w:ascii="宋体"/>
          <w:b/>
          <w:sz w:val="32"/>
          <w:szCs w:val="32"/>
        </w:rPr>
      </w:pPr>
      <w:r w:rsidRPr="00C274C1">
        <w:rPr>
          <w:rFonts w:ascii="仿宋_GB2312" w:eastAsia="仿宋_GB2312" w:hint="eastAsia"/>
          <w:sz w:val="32"/>
          <w:szCs w:val="32"/>
        </w:rPr>
        <w:t>北京市</w:t>
      </w:r>
      <w:r w:rsidR="000778F2" w:rsidRPr="00C274C1">
        <w:rPr>
          <w:rFonts w:ascii="仿宋_GB2312" w:eastAsia="仿宋_GB2312" w:hint="eastAsia"/>
          <w:sz w:val="32"/>
          <w:szCs w:val="32"/>
        </w:rPr>
        <w:t>城市管理综合行政执法局</w:t>
      </w:r>
      <w:r w:rsidRPr="00C274C1">
        <w:rPr>
          <w:rFonts w:ascii="仿宋_GB2312" w:eastAsia="仿宋_GB2312" w:hint="eastAsia"/>
          <w:sz w:val="32"/>
          <w:szCs w:val="32"/>
        </w:rPr>
        <w:t>因公出国（境）费用、公务接待费、公务用车购置和运行维护费开支单位包括</w:t>
      </w:r>
      <w:r w:rsidR="003313CB" w:rsidRPr="00C274C1">
        <w:rPr>
          <w:rFonts w:ascii="仿宋_GB2312" w:eastAsia="仿宋_GB2312" w:hint="eastAsia"/>
          <w:sz w:val="32"/>
          <w:szCs w:val="32"/>
        </w:rPr>
        <w:t>北京市城市管理综合行政执法</w:t>
      </w:r>
      <w:r w:rsidR="008C08A5" w:rsidRPr="00C274C1">
        <w:rPr>
          <w:rFonts w:ascii="仿宋_GB2312" w:eastAsia="仿宋_GB2312" w:hint="eastAsia"/>
          <w:sz w:val="32"/>
          <w:szCs w:val="32"/>
        </w:rPr>
        <w:t>局本级、</w:t>
      </w:r>
      <w:r w:rsidR="003313CB" w:rsidRPr="00C274C1">
        <w:rPr>
          <w:rFonts w:ascii="仿宋_GB2312" w:eastAsia="仿宋_GB2312" w:hint="eastAsia"/>
          <w:sz w:val="32"/>
          <w:szCs w:val="32"/>
        </w:rPr>
        <w:t>北京市城市管理综合行政执法局</w:t>
      </w:r>
      <w:r w:rsidR="000778F2" w:rsidRPr="00C274C1">
        <w:rPr>
          <w:rFonts w:ascii="仿宋_GB2312" w:eastAsia="仿宋_GB2312" w:hint="eastAsia"/>
          <w:sz w:val="32"/>
          <w:szCs w:val="32"/>
        </w:rPr>
        <w:t>宣传</w:t>
      </w:r>
      <w:r w:rsidR="008C08A5" w:rsidRPr="00C274C1">
        <w:rPr>
          <w:rFonts w:ascii="仿宋_GB2312" w:eastAsia="仿宋_GB2312" w:hint="eastAsia"/>
          <w:sz w:val="32"/>
          <w:szCs w:val="32"/>
        </w:rPr>
        <w:t>教育</w:t>
      </w:r>
      <w:r w:rsidR="000778F2" w:rsidRPr="00C274C1">
        <w:rPr>
          <w:rFonts w:ascii="仿宋_GB2312" w:eastAsia="仿宋_GB2312" w:hint="eastAsia"/>
          <w:sz w:val="32"/>
          <w:szCs w:val="32"/>
        </w:rPr>
        <w:t>中心</w:t>
      </w:r>
      <w:r w:rsidR="008C08A5" w:rsidRPr="00C274C1">
        <w:rPr>
          <w:rFonts w:ascii="仿宋_GB2312" w:eastAsia="仿宋_GB2312" w:hint="eastAsia"/>
          <w:sz w:val="32"/>
          <w:szCs w:val="32"/>
        </w:rPr>
        <w:t>、北京市城市管理综合行政执法局科技信息中心3</w:t>
      </w:r>
      <w:r w:rsidR="003313CB" w:rsidRPr="00C274C1">
        <w:rPr>
          <w:rFonts w:ascii="仿宋_GB2312" w:eastAsia="仿宋_GB2312" w:hint="eastAsia"/>
          <w:sz w:val="32"/>
          <w:szCs w:val="32"/>
        </w:rPr>
        <w:t>个</w:t>
      </w:r>
      <w:r w:rsidR="006F75D9">
        <w:rPr>
          <w:rFonts w:ascii="仿宋_GB2312" w:eastAsia="仿宋_GB2312" w:hint="eastAsia"/>
          <w:sz w:val="32"/>
          <w:szCs w:val="32"/>
        </w:rPr>
        <w:t>所属</w:t>
      </w:r>
      <w:r w:rsidRPr="00C274C1">
        <w:rPr>
          <w:rFonts w:ascii="仿宋_GB2312" w:eastAsia="仿宋_GB2312" w:hint="eastAsia"/>
          <w:sz w:val="32"/>
          <w:szCs w:val="32"/>
        </w:rPr>
        <w:t>单位。</w:t>
      </w:r>
    </w:p>
    <w:p w:rsidR="002D11D1" w:rsidRPr="00C274C1" w:rsidRDefault="006F75D9" w:rsidP="002D11D1">
      <w:pPr>
        <w:ind w:firstLine="6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二、“</w:t>
      </w:r>
      <w:r w:rsidR="002D11D1" w:rsidRPr="00C274C1">
        <w:rPr>
          <w:rFonts w:ascii="黑体" w:eastAsia="黑体" w:hint="eastAsia"/>
          <w:sz w:val="32"/>
          <w:szCs w:val="32"/>
        </w:rPr>
        <w:t>三公</w:t>
      </w:r>
      <w:r>
        <w:rPr>
          <w:rFonts w:ascii="黑体" w:eastAsia="黑体" w:hint="eastAsia"/>
          <w:sz w:val="32"/>
          <w:szCs w:val="32"/>
        </w:rPr>
        <w:t>”经费</w:t>
      </w:r>
      <w:r w:rsidR="002D11D1" w:rsidRPr="00C274C1">
        <w:rPr>
          <w:rFonts w:ascii="黑体" w:eastAsia="黑体" w:hint="eastAsia"/>
          <w:sz w:val="32"/>
          <w:szCs w:val="32"/>
        </w:rPr>
        <w:t>财政拨款情况说明</w:t>
      </w:r>
    </w:p>
    <w:p w:rsidR="00C274C1" w:rsidRPr="007A42A8" w:rsidRDefault="00C274C1" w:rsidP="00C274C1">
      <w:pPr>
        <w:ind w:firstLine="600"/>
        <w:rPr>
          <w:rFonts w:ascii="仿宋_GB2312" w:eastAsia="仿宋_GB2312"/>
          <w:kern w:val="32"/>
          <w:sz w:val="32"/>
          <w:szCs w:val="32"/>
        </w:rPr>
      </w:pPr>
      <w:r w:rsidRPr="007A42A8">
        <w:rPr>
          <w:rFonts w:ascii="仿宋_GB2312" w:eastAsia="仿宋_GB2312" w:hint="eastAsia"/>
          <w:kern w:val="32"/>
          <w:sz w:val="32"/>
          <w:szCs w:val="32"/>
        </w:rPr>
        <w:t>201</w:t>
      </w:r>
      <w:r w:rsidR="007A42A8" w:rsidRPr="007A42A8">
        <w:rPr>
          <w:rFonts w:ascii="仿宋_GB2312" w:eastAsia="仿宋_GB2312" w:hint="eastAsia"/>
          <w:kern w:val="32"/>
          <w:sz w:val="32"/>
          <w:szCs w:val="32"/>
        </w:rPr>
        <w:t>6</w:t>
      </w:r>
      <w:r w:rsidRPr="007A42A8">
        <w:rPr>
          <w:rFonts w:ascii="仿宋_GB2312" w:eastAsia="仿宋_GB2312" w:hint="eastAsia"/>
          <w:kern w:val="32"/>
          <w:sz w:val="32"/>
          <w:szCs w:val="32"/>
        </w:rPr>
        <w:t>年“三公”经费财政拨款预算</w:t>
      </w:r>
      <w:r w:rsidR="007A42A8">
        <w:rPr>
          <w:rFonts w:ascii="仿宋_GB2312" w:eastAsia="仿宋_GB2312" w:hint="eastAsia"/>
          <w:kern w:val="32"/>
          <w:sz w:val="32"/>
          <w:szCs w:val="32"/>
        </w:rPr>
        <w:t>213</w:t>
      </w:r>
      <w:r w:rsidRPr="007A42A8">
        <w:rPr>
          <w:rFonts w:ascii="仿宋_GB2312" w:eastAsia="仿宋_GB2312" w:hint="eastAsia"/>
          <w:kern w:val="32"/>
          <w:sz w:val="32"/>
          <w:szCs w:val="32"/>
        </w:rPr>
        <w:t>.6</w:t>
      </w:r>
      <w:r w:rsidR="0006322A">
        <w:rPr>
          <w:rFonts w:ascii="仿宋_GB2312" w:eastAsia="仿宋_GB2312" w:hint="eastAsia"/>
          <w:kern w:val="32"/>
          <w:sz w:val="32"/>
          <w:szCs w:val="32"/>
        </w:rPr>
        <w:t>0</w:t>
      </w:r>
      <w:r w:rsidRPr="007A42A8">
        <w:rPr>
          <w:rFonts w:ascii="仿宋_GB2312" w:eastAsia="仿宋_GB2312" w:hint="eastAsia"/>
          <w:kern w:val="32"/>
          <w:sz w:val="32"/>
          <w:szCs w:val="32"/>
        </w:rPr>
        <w:t>万元，比201</w:t>
      </w:r>
      <w:r w:rsidR="007A42A8">
        <w:rPr>
          <w:rFonts w:ascii="仿宋_GB2312" w:eastAsia="仿宋_GB2312" w:hint="eastAsia"/>
          <w:kern w:val="32"/>
          <w:sz w:val="32"/>
          <w:szCs w:val="32"/>
        </w:rPr>
        <w:t>5</w:t>
      </w:r>
      <w:r w:rsidRPr="007A42A8">
        <w:rPr>
          <w:rFonts w:ascii="仿宋_GB2312" w:eastAsia="仿宋_GB2312" w:hint="eastAsia"/>
          <w:kern w:val="32"/>
          <w:sz w:val="32"/>
          <w:szCs w:val="32"/>
        </w:rPr>
        <w:t>年“三公”经费财政拨款预算减少</w:t>
      </w:r>
      <w:r w:rsidR="007A42A8">
        <w:rPr>
          <w:rFonts w:ascii="仿宋_GB2312" w:eastAsia="仿宋_GB2312" w:hint="eastAsia"/>
          <w:kern w:val="32"/>
          <w:sz w:val="32"/>
          <w:szCs w:val="32"/>
        </w:rPr>
        <w:t>122</w:t>
      </w:r>
      <w:r w:rsidR="0006322A">
        <w:rPr>
          <w:rFonts w:ascii="仿宋_GB2312" w:eastAsia="仿宋_GB2312" w:hint="eastAsia"/>
          <w:kern w:val="32"/>
          <w:sz w:val="32"/>
          <w:szCs w:val="32"/>
        </w:rPr>
        <w:t>.00</w:t>
      </w:r>
      <w:r w:rsidRPr="007A42A8">
        <w:rPr>
          <w:rFonts w:ascii="仿宋_GB2312" w:eastAsia="仿宋_GB2312" w:hint="eastAsia"/>
          <w:kern w:val="32"/>
          <w:sz w:val="32"/>
          <w:szCs w:val="32"/>
        </w:rPr>
        <w:t>万元。其中：</w:t>
      </w:r>
    </w:p>
    <w:p w:rsidR="007A42A8" w:rsidRDefault="00C274C1" w:rsidP="007A42A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A42A8">
        <w:rPr>
          <w:rFonts w:ascii="仿宋_GB2312" w:eastAsia="仿宋_GB2312" w:hint="eastAsia"/>
          <w:kern w:val="32"/>
          <w:sz w:val="32"/>
          <w:szCs w:val="32"/>
        </w:rPr>
        <w:t>1.因公出国（境）费用。201</w:t>
      </w:r>
      <w:r w:rsidR="007A42A8">
        <w:rPr>
          <w:rFonts w:ascii="仿宋_GB2312" w:eastAsia="仿宋_GB2312" w:hint="eastAsia"/>
          <w:kern w:val="32"/>
          <w:sz w:val="32"/>
          <w:szCs w:val="32"/>
        </w:rPr>
        <w:t>6</w:t>
      </w:r>
      <w:r w:rsidRPr="007A42A8">
        <w:rPr>
          <w:rFonts w:ascii="仿宋_GB2312" w:eastAsia="仿宋_GB2312" w:hint="eastAsia"/>
          <w:kern w:val="32"/>
          <w:sz w:val="32"/>
          <w:szCs w:val="32"/>
        </w:rPr>
        <w:t>年预算数</w:t>
      </w:r>
      <w:r w:rsidR="007A42A8">
        <w:rPr>
          <w:rFonts w:ascii="仿宋_GB2312" w:eastAsia="仿宋_GB2312" w:hint="eastAsia"/>
          <w:kern w:val="32"/>
          <w:sz w:val="32"/>
          <w:szCs w:val="32"/>
        </w:rPr>
        <w:t>51.8</w:t>
      </w:r>
      <w:r w:rsidR="0006322A">
        <w:rPr>
          <w:rFonts w:ascii="仿宋_GB2312" w:eastAsia="仿宋_GB2312" w:hint="eastAsia"/>
          <w:kern w:val="32"/>
          <w:sz w:val="32"/>
          <w:szCs w:val="32"/>
        </w:rPr>
        <w:t>0</w:t>
      </w:r>
      <w:r w:rsidRPr="007A42A8">
        <w:rPr>
          <w:rFonts w:ascii="仿宋_GB2312" w:eastAsia="仿宋_GB2312" w:hint="eastAsia"/>
          <w:kern w:val="32"/>
          <w:sz w:val="32"/>
          <w:szCs w:val="32"/>
        </w:rPr>
        <w:t>万元，比201</w:t>
      </w:r>
      <w:r w:rsidR="007A42A8">
        <w:rPr>
          <w:rFonts w:ascii="仿宋_GB2312" w:eastAsia="仿宋_GB2312" w:hint="eastAsia"/>
          <w:kern w:val="32"/>
          <w:sz w:val="32"/>
          <w:szCs w:val="32"/>
        </w:rPr>
        <w:t>5</w:t>
      </w:r>
      <w:r w:rsidRPr="007A42A8">
        <w:rPr>
          <w:rFonts w:ascii="仿宋_GB2312" w:eastAsia="仿宋_GB2312" w:hint="eastAsia"/>
          <w:kern w:val="32"/>
          <w:sz w:val="32"/>
          <w:szCs w:val="32"/>
        </w:rPr>
        <w:t>年预算数减少</w:t>
      </w:r>
      <w:r w:rsidR="007A42A8">
        <w:rPr>
          <w:rFonts w:ascii="仿宋_GB2312" w:eastAsia="仿宋_GB2312" w:hint="eastAsia"/>
          <w:kern w:val="32"/>
          <w:sz w:val="32"/>
          <w:szCs w:val="32"/>
        </w:rPr>
        <w:t>7.8</w:t>
      </w:r>
      <w:r w:rsidR="0006322A">
        <w:rPr>
          <w:rFonts w:ascii="仿宋_GB2312" w:eastAsia="仿宋_GB2312" w:hint="eastAsia"/>
          <w:kern w:val="32"/>
          <w:sz w:val="32"/>
          <w:szCs w:val="32"/>
        </w:rPr>
        <w:t>0</w:t>
      </w:r>
      <w:r w:rsidRPr="007A42A8">
        <w:rPr>
          <w:rFonts w:ascii="仿宋_GB2312" w:eastAsia="仿宋_GB2312" w:hint="eastAsia"/>
          <w:kern w:val="32"/>
          <w:sz w:val="32"/>
          <w:szCs w:val="32"/>
        </w:rPr>
        <w:t>万元，</w:t>
      </w:r>
      <w:r w:rsidR="007A42A8" w:rsidRPr="009F63F9">
        <w:rPr>
          <w:rFonts w:ascii="仿宋_GB2312" w:eastAsia="仿宋_GB2312" w:hint="eastAsia"/>
          <w:kern w:val="32"/>
          <w:sz w:val="32"/>
          <w:szCs w:val="32"/>
        </w:rPr>
        <w:t>主要原因：</w:t>
      </w:r>
      <w:r w:rsidR="007A42A8" w:rsidRPr="0025426D">
        <w:rPr>
          <w:rFonts w:ascii="仿宋_GB2312" w:eastAsia="仿宋_GB2312" w:hint="eastAsia"/>
          <w:kern w:val="32"/>
          <w:sz w:val="32"/>
          <w:szCs w:val="32"/>
        </w:rPr>
        <w:t>根据中央和市委市政府因公出国（境）有关规定，进一步压缩201</w:t>
      </w:r>
      <w:r w:rsidR="007A42A8">
        <w:rPr>
          <w:rFonts w:ascii="仿宋_GB2312" w:eastAsia="仿宋_GB2312" w:hint="eastAsia"/>
          <w:kern w:val="32"/>
          <w:sz w:val="32"/>
          <w:szCs w:val="32"/>
        </w:rPr>
        <w:t>6</w:t>
      </w:r>
      <w:r w:rsidR="007A42A8" w:rsidRPr="0025426D">
        <w:rPr>
          <w:rFonts w:ascii="仿宋_GB2312" w:eastAsia="仿宋_GB2312" w:hint="eastAsia"/>
          <w:kern w:val="32"/>
          <w:sz w:val="32"/>
          <w:szCs w:val="32"/>
        </w:rPr>
        <w:t>年因公出国（境）费支出；</w:t>
      </w:r>
      <w:r w:rsidR="007A42A8" w:rsidRPr="009F63F9">
        <w:rPr>
          <w:rFonts w:ascii="仿宋_GB2312" w:eastAsia="仿宋_GB2312" w:hint="eastAsia"/>
          <w:kern w:val="32"/>
          <w:sz w:val="32"/>
          <w:szCs w:val="32"/>
        </w:rPr>
        <w:t>2016年因公出国（境）费用主要用于</w:t>
      </w:r>
      <w:r w:rsidR="007A42A8" w:rsidRPr="009F63F9">
        <w:rPr>
          <w:rFonts w:ascii="仿宋_GB2312" w:eastAsia="仿宋_GB2312" w:hAnsi="宋体" w:hint="eastAsia"/>
          <w:sz w:val="32"/>
          <w:szCs w:val="32"/>
        </w:rPr>
        <w:t>国（境）外短期培训、对外交流</w:t>
      </w:r>
      <w:r w:rsidR="007A42A8">
        <w:rPr>
          <w:rFonts w:ascii="仿宋_GB2312" w:eastAsia="仿宋_GB2312" w:hAnsi="宋体" w:hint="eastAsia"/>
          <w:sz w:val="32"/>
          <w:szCs w:val="32"/>
        </w:rPr>
        <w:t>等相关</w:t>
      </w:r>
      <w:r w:rsidR="007A42A8" w:rsidRPr="009F63F9">
        <w:rPr>
          <w:rFonts w:ascii="仿宋_GB2312" w:eastAsia="仿宋_GB2312" w:hAnsi="宋体" w:hint="eastAsia"/>
          <w:sz w:val="32"/>
          <w:szCs w:val="32"/>
        </w:rPr>
        <w:t>工作</w:t>
      </w:r>
      <w:r w:rsidR="007A42A8">
        <w:rPr>
          <w:rFonts w:ascii="仿宋_GB2312" w:eastAsia="仿宋_GB2312" w:hAnsi="宋体" w:hint="eastAsia"/>
          <w:sz w:val="32"/>
          <w:szCs w:val="32"/>
        </w:rPr>
        <w:t>。</w:t>
      </w:r>
    </w:p>
    <w:p w:rsidR="007A42A8" w:rsidRPr="007A42A8" w:rsidRDefault="00C274C1" w:rsidP="00C274C1">
      <w:pPr>
        <w:ind w:firstLine="600"/>
        <w:rPr>
          <w:rFonts w:ascii="仿宋_GB2312" w:eastAsia="仿宋_GB2312"/>
          <w:kern w:val="32"/>
          <w:sz w:val="32"/>
          <w:szCs w:val="32"/>
        </w:rPr>
      </w:pPr>
      <w:r w:rsidRPr="007A42A8">
        <w:rPr>
          <w:rFonts w:ascii="仿宋_GB2312" w:eastAsia="仿宋_GB2312" w:hint="eastAsia"/>
          <w:kern w:val="32"/>
          <w:sz w:val="32"/>
          <w:szCs w:val="32"/>
        </w:rPr>
        <w:t>2.公务接待费。</w:t>
      </w:r>
      <w:r w:rsidR="00413EB9" w:rsidRPr="009F63F9">
        <w:rPr>
          <w:rFonts w:ascii="仿宋_GB2312" w:eastAsia="仿宋_GB2312" w:hint="eastAsia"/>
          <w:kern w:val="32"/>
          <w:sz w:val="32"/>
          <w:szCs w:val="32"/>
        </w:rPr>
        <w:t>2016年预算数</w:t>
      </w:r>
      <w:r w:rsidR="00413EB9">
        <w:rPr>
          <w:rFonts w:ascii="仿宋_GB2312" w:eastAsia="仿宋_GB2312" w:hint="eastAsia"/>
          <w:kern w:val="32"/>
          <w:sz w:val="32"/>
          <w:szCs w:val="32"/>
        </w:rPr>
        <w:t>10</w:t>
      </w:r>
      <w:r w:rsidR="0006322A">
        <w:rPr>
          <w:rFonts w:ascii="仿宋_GB2312" w:eastAsia="仿宋_GB2312" w:hint="eastAsia"/>
          <w:kern w:val="32"/>
          <w:sz w:val="32"/>
          <w:szCs w:val="32"/>
        </w:rPr>
        <w:t>.00</w:t>
      </w:r>
      <w:r w:rsidR="00413EB9" w:rsidRPr="009F63F9">
        <w:rPr>
          <w:rFonts w:ascii="仿宋_GB2312" w:eastAsia="仿宋_GB2312" w:hint="eastAsia"/>
          <w:kern w:val="32"/>
          <w:sz w:val="32"/>
          <w:szCs w:val="32"/>
        </w:rPr>
        <w:t>万元，比2015年预算数减少2</w:t>
      </w:r>
      <w:r w:rsidR="0006322A">
        <w:rPr>
          <w:rFonts w:ascii="仿宋_GB2312" w:eastAsia="仿宋_GB2312" w:hint="eastAsia"/>
          <w:kern w:val="32"/>
          <w:sz w:val="32"/>
          <w:szCs w:val="32"/>
        </w:rPr>
        <w:t>.00</w:t>
      </w:r>
      <w:r w:rsidR="00413EB9" w:rsidRPr="009F63F9">
        <w:rPr>
          <w:rFonts w:ascii="仿宋_GB2312" w:eastAsia="仿宋_GB2312" w:hint="eastAsia"/>
          <w:kern w:val="32"/>
          <w:sz w:val="32"/>
          <w:szCs w:val="32"/>
        </w:rPr>
        <w:t>万元，</w:t>
      </w:r>
      <w:r w:rsidR="00413EB9" w:rsidRPr="001F00AC">
        <w:rPr>
          <w:rFonts w:ascii="仿宋_GB2312" w:eastAsia="仿宋_GB2312" w:hint="eastAsia"/>
          <w:kern w:val="32"/>
          <w:sz w:val="32"/>
          <w:szCs w:val="32"/>
        </w:rPr>
        <w:t>主要原因：</w:t>
      </w:r>
      <w:r w:rsidR="00413EB9">
        <w:rPr>
          <w:rFonts w:ascii="仿宋_GB2312" w:eastAsia="仿宋_GB2312" w:hint="eastAsia"/>
          <w:kern w:val="32"/>
          <w:sz w:val="32"/>
          <w:szCs w:val="32"/>
        </w:rPr>
        <w:t>落实中央及我市关于厉行勤俭节约工作要求，加强公务接待审批管理，严格控制公务接等数量、规模和接待标准，公务接待</w:t>
      </w:r>
      <w:proofErr w:type="gramStart"/>
      <w:r w:rsidR="00413EB9">
        <w:rPr>
          <w:rFonts w:ascii="仿宋_GB2312" w:eastAsia="仿宋_GB2312" w:hint="eastAsia"/>
          <w:kern w:val="32"/>
          <w:sz w:val="32"/>
          <w:szCs w:val="32"/>
        </w:rPr>
        <w:t>费相应</w:t>
      </w:r>
      <w:proofErr w:type="gramEnd"/>
      <w:r w:rsidR="00413EB9">
        <w:rPr>
          <w:rFonts w:ascii="仿宋_GB2312" w:eastAsia="仿宋_GB2312" w:hint="eastAsia"/>
          <w:kern w:val="32"/>
          <w:sz w:val="32"/>
          <w:szCs w:val="32"/>
        </w:rPr>
        <w:t>减少</w:t>
      </w:r>
      <w:r w:rsidR="00413EB9" w:rsidRPr="003B3684">
        <w:rPr>
          <w:rFonts w:ascii="仿宋_GB2312" w:eastAsia="仿宋_GB2312" w:hint="eastAsia"/>
          <w:kern w:val="32"/>
          <w:sz w:val="32"/>
          <w:szCs w:val="32"/>
        </w:rPr>
        <w:t>。</w:t>
      </w:r>
    </w:p>
    <w:p w:rsidR="00413EB9" w:rsidRDefault="00C274C1" w:rsidP="00413EB9">
      <w:pPr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 w:rsidRPr="007A42A8">
        <w:rPr>
          <w:rFonts w:ascii="仿宋_GB2312" w:eastAsia="仿宋_GB2312" w:hint="eastAsia"/>
          <w:kern w:val="32"/>
          <w:sz w:val="32"/>
          <w:szCs w:val="32"/>
        </w:rPr>
        <w:t>3.公务用车购置和运行维护费。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2016年预算数</w:t>
      </w:r>
      <w:r w:rsidR="00413EB9">
        <w:rPr>
          <w:rFonts w:ascii="仿宋_GB2312" w:eastAsia="仿宋_GB2312" w:hint="eastAsia"/>
          <w:kern w:val="32"/>
          <w:sz w:val="32"/>
          <w:szCs w:val="32"/>
        </w:rPr>
        <w:t>151.8</w:t>
      </w:r>
      <w:r w:rsidR="0006322A">
        <w:rPr>
          <w:rFonts w:ascii="仿宋_GB2312" w:eastAsia="仿宋_GB2312" w:hint="eastAsia"/>
          <w:kern w:val="32"/>
          <w:sz w:val="32"/>
          <w:szCs w:val="32"/>
        </w:rPr>
        <w:t>0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万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lastRenderedPageBreak/>
        <w:t>元，其中，公务用车购置费2016年预算数0</w:t>
      </w:r>
      <w:r w:rsidR="0006322A">
        <w:rPr>
          <w:rFonts w:ascii="仿宋_GB2312" w:eastAsia="仿宋_GB2312" w:hint="eastAsia"/>
          <w:kern w:val="32"/>
          <w:sz w:val="32"/>
          <w:szCs w:val="32"/>
        </w:rPr>
        <w:t>.00</w:t>
      </w:r>
      <w:bookmarkStart w:id="0" w:name="_GoBack"/>
      <w:bookmarkEnd w:id="0"/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万元，</w:t>
      </w:r>
      <w:r w:rsidR="00413EB9">
        <w:rPr>
          <w:rFonts w:ascii="仿宋_GB2312" w:eastAsia="仿宋_GB2312" w:hint="eastAsia"/>
          <w:kern w:val="32"/>
          <w:sz w:val="32"/>
          <w:szCs w:val="32"/>
        </w:rPr>
        <w:t>与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2015</w:t>
      </w:r>
      <w:r w:rsidR="00413EB9">
        <w:rPr>
          <w:rFonts w:ascii="仿宋_GB2312" w:eastAsia="仿宋_GB2312" w:hint="eastAsia"/>
          <w:kern w:val="32"/>
          <w:sz w:val="32"/>
          <w:szCs w:val="32"/>
        </w:rPr>
        <w:t>年持平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；公务用车运行维护费2016年预算数</w:t>
      </w:r>
      <w:r w:rsidR="00413EB9">
        <w:rPr>
          <w:rFonts w:ascii="仿宋_GB2312" w:eastAsia="仿宋_GB2312" w:hint="eastAsia"/>
          <w:kern w:val="32"/>
          <w:sz w:val="32"/>
          <w:szCs w:val="32"/>
        </w:rPr>
        <w:t>151.8</w:t>
      </w:r>
      <w:r w:rsidR="0006322A">
        <w:rPr>
          <w:rFonts w:ascii="仿宋_GB2312" w:eastAsia="仿宋_GB2312" w:hint="eastAsia"/>
          <w:kern w:val="32"/>
          <w:sz w:val="32"/>
          <w:szCs w:val="32"/>
        </w:rPr>
        <w:t>0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万元，其中：公务用车加油</w:t>
      </w:r>
      <w:r w:rsidR="00413EB9">
        <w:rPr>
          <w:rFonts w:ascii="仿宋_GB2312" w:eastAsia="仿宋_GB2312" w:hint="eastAsia"/>
          <w:kern w:val="32"/>
          <w:sz w:val="32"/>
          <w:szCs w:val="32"/>
        </w:rPr>
        <w:t>68.454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万元，公务用车维修37.</w:t>
      </w:r>
      <w:r w:rsidR="00413EB9">
        <w:rPr>
          <w:rFonts w:ascii="仿宋_GB2312" w:eastAsia="仿宋_GB2312" w:hint="eastAsia"/>
          <w:kern w:val="32"/>
          <w:sz w:val="32"/>
          <w:szCs w:val="32"/>
        </w:rPr>
        <w:t>806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万元，公务用车保险2</w:t>
      </w:r>
      <w:r w:rsidR="00413EB9">
        <w:rPr>
          <w:rFonts w:ascii="仿宋_GB2312" w:eastAsia="仿宋_GB2312" w:hint="eastAsia"/>
          <w:kern w:val="32"/>
          <w:sz w:val="32"/>
          <w:szCs w:val="32"/>
        </w:rPr>
        <w:t>5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.</w:t>
      </w:r>
      <w:r w:rsidR="00413EB9">
        <w:rPr>
          <w:rFonts w:ascii="仿宋_GB2312" w:eastAsia="仿宋_GB2312" w:hint="eastAsia"/>
          <w:kern w:val="32"/>
          <w:sz w:val="32"/>
          <w:szCs w:val="32"/>
        </w:rPr>
        <w:t>806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万元，其他</w:t>
      </w:r>
      <w:r w:rsidR="00413EB9">
        <w:rPr>
          <w:rFonts w:ascii="仿宋_GB2312" w:eastAsia="仿宋_GB2312" w:hint="eastAsia"/>
          <w:kern w:val="32"/>
          <w:sz w:val="32"/>
          <w:szCs w:val="32"/>
        </w:rPr>
        <w:t>19.734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万元。</w:t>
      </w:r>
      <w:r w:rsidR="006F75D9">
        <w:rPr>
          <w:rFonts w:ascii="仿宋_GB2312" w:eastAsia="仿宋_GB2312" w:hint="eastAsia"/>
          <w:kern w:val="32"/>
          <w:sz w:val="32"/>
          <w:szCs w:val="32"/>
        </w:rPr>
        <w:t>公务用车运行维护费2016年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比2015预算数264</w:t>
      </w:r>
      <w:r w:rsidR="0006322A">
        <w:rPr>
          <w:rFonts w:ascii="仿宋_GB2312" w:eastAsia="仿宋_GB2312" w:hint="eastAsia"/>
          <w:kern w:val="32"/>
          <w:sz w:val="32"/>
          <w:szCs w:val="32"/>
        </w:rPr>
        <w:t>.00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万元减少</w:t>
      </w:r>
      <w:r w:rsidR="00413EB9">
        <w:rPr>
          <w:rFonts w:ascii="仿宋_GB2312" w:eastAsia="仿宋_GB2312" w:hint="eastAsia"/>
          <w:kern w:val="32"/>
          <w:sz w:val="32"/>
          <w:szCs w:val="32"/>
        </w:rPr>
        <w:t>112.2</w:t>
      </w:r>
      <w:r w:rsidR="0006322A">
        <w:rPr>
          <w:rFonts w:ascii="仿宋_GB2312" w:eastAsia="仿宋_GB2312" w:hint="eastAsia"/>
          <w:kern w:val="32"/>
          <w:sz w:val="32"/>
          <w:szCs w:val="32"/>
        </w:rPr>
        <w:t>0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万元</w:t>
      </w:r>
      <w:r w:rsidR="006F75D9">
        <w:rPr>
          <w:rFonts w:ascii="仿宋_GB2312" w:eastAsia="仿宋_GB2312" w:hint="eastAsia"/>
          <w:kern w:val="32"/>
          <w:sz w:val="32"/>
          <w:szCs w:val="32"/>
        </w:rPr>
        <w:t>。</w:t>
      </w:r>
      <w:r w:rsidR="00413EB9" w:rsidRPr="000835C4">
        <w:rPr>
          <w:rFonts w:ascii="仿宋_GB2312" w:eastAsia="仿宋_GB2312" w:hint="eastAsia"/>
          <w:kern w:val="32"/>
          <w:sz w:val="32"/>
          <w:szCs w:val="32"/>
        </w:rPr>
        <w:t>主要原因：</w:t>
      </w:r>
      <w:r w:rsidR="00413EB9">
        <w:rPr>
          <w:rFonts w:ascii="仿宋_GB2312" w:eastAsia="仿宋_GB2312" w:hint="eastAsia"/>
          <w:kern w:val="32"/>
          <w:sz w:val="32"/>
          <w:szCs w:val="32"/>
        </w:rPr>
        <w:t>党政机关公务用车制度改革后，按照规定保留了部分执法执勤以</w:t>
      </w:r>
      <w:r w:rsidR="00853ED1">
        <w:rPr>
          <w:rFonts w:ascii="仿宋_GB2312" w:eastAsia="仿宋_GB2312" w:hint="eastAsia"/>
          <w:kern w:val="32"/>
          <w:sz w:val="32"/>
          <w:szCs w:val="32"/>
        </w:rPr>
        <w:t>及应急车辆，公务用车运行维护费相应减少。</w:t>
      </w:r>
    </w:p>
    <w:sectPr w:rsidR="00413EB9" w:rsidSect="002B272B">
      <w:pgSz w:w="11906" w:h="16838"/>
      <w:pgMar w:top="1440" w:right="1588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63" w:rsidRDefault="002F3D63" w:rsidP="002D11D1">
      <w:r>
        <w:separator/>
      </w:r>
    </w:p>
  </w:endnote>
  <w:endnote w:type="continuationSeparator" w:id="0">
    <w:p w:rsidR="002F3D63" w:rsidRDefault="002F3D63" w:rsidP="002D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63" w:rsidRDefault="002F3D63" w:rsidP="002D11D1">
      <w:r>
        <w:separator/>
      </w:r>
    </w:p>
  </w:footnote>
  <w:footnote w:type="continuationSeparator" w:id="0">
    <w:p w:rsidR="002F3D63" w:rsidRDefault="002F3D63" w:rsidP="002D1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0B"/>
    <w:rsid w:val="000070F2"/>
    <w:rsid w:val="0001575A"/>
    <w:rsid w:val="00017D91"/>
    <w:rsid w:val="00023C92"/>
    <w:rsid w:val="00031806"/>
    <w:rsid w:val="00043705"/>
    <w:rsid w:val="0006322A"/>
    <w:rsid w:val="000778F2"/>
    <w:rsid w:val="00087D1A"/>
    <w:rsid w:val="000C685A"/>
    <w:rsid w:val="000C717F"/>
    <w:rsid w:val="000D5563"/>
    <w:rsid w:val="000E5849"/>
    <w:rsid w:val="000F0F55"/>
    <w:rsid w:val="000F5E9B"/>
    <w:rsid w:val="00105196"/>
    <w:rsid w:val="0012675F"/>
    <w:rsid w:val="00135415"/>
    <w:rsid w:val="001569D9"/>
    <w:rsid w:val="0016127B"/>
    <w:rsid w:val="00164FA0"/>
    <w:rsid w:val="00172BB8"/>
    <w:rsid w:val="00172CC2"/>
    <w:rsid w:val="00175F63"/>
    <w:rsid w:val="0017689D"/>
    <w:rsid w:val="001844B8"/>
    <w:rsid w:val="00191DCA"/>
    <w:rsid w:val="001B12E5"/>
    <w:rsid w:val="001D6C21"/>
    <w:rsid w:val="001D7AFB"/>
    <w:rsid w:val="00204AA6"/>
    <w:rsid w:val="0020589A"/>
    <w:rsid w:val="00213546"/>
    <w:rsid w:val="0022495E"/>
    <w:rsid w:val="00227FF3"/>
    <w:rsid w:val="00230320"/>
    <w:rsid w:val="00262FCC"/>
    <w:rsid w:val="00274E1F"/>
    <w:rsid w:val="002826BE"/>
    <w:rsid w:val="00285993"/>
    <w:rsid w:val="002B272B"/>
    <w:rsid w:val="002B2AA4"/>
    <w:rsid w:val="002D11D1"/>
    <w:rsid w:val="002E2F28"/>
    <w:rsid w:val="002F3D63"/>
    <w:rsid w:val="0031355B"/>
    <w:rsid w:val="00316617"/>
    <w:rsid w:val="003313CB"/>
    <w:rsid w:val="00343204"/>
    <w:rsid w:val="003610ED"/>
    <w:rsid w:val="003752C1"/>
    <w:rsid w:val="00395AA9"/>
    <w:rsid w:val="003A2CA8"/>
    <w:rsid w:val="003A4A94"/>
    <w:rsid w:val="003C406A"/>
    <w:rsid w:val="003C774F"/>
    <w:rsid w:val="003C7C7A"/>
    <w:rsid w:val="00406B84"/>
    <w:rsid w:val="00413EB9"/>
    <w:rsid w:val="00425821"/>
    <w:rsid w:val="00433895"/>
    <w:rsid w:val="0044270D"/>
    <w:rsid w:val="00463A6B"/>
    <w:rsid w:val="004F2F0B"/>
    <w:rsid w:val="004F7A3C"/>
    <w:rsid w:val="00531460"/>
    <w:rsid w:val="00542E78"/>
    <w:rsid w:val="005B4CB3"/>
    <w:rsid w:val="005D3D34"/>
    <w:rsid w:val="00607D2A"/>
    <w:rsid w:val="006122C4"/>
    <w:rsid w:val="006208CD"/>
    <w:rsid w:val="006306D8"/>
    <w:rsid w:val="00633716"/>
    <w:rsid w:val="00644DDC"/>
    <w:rsid w:val="00656E0F"/>
    <w:rsid w:val="006A41EC"/>
    <w:rsid w:val="006D5888"/>
    <w:rsid w:val="006D5D14"/>
    <w:rsid w:val="006D7095"/>
    <w:rsid w:val="006E1A7A"/>
    <w:rsid w:val="006F75D9"/>
    <w:rsid w:val="00714D58"/>
    <w:rsid w:val="007260C6"/>
    <w:rsid w:val="00732DBF"/>
    <w:rsid w:val="00785F11"/>
    <w:rsid w:val="00786C24"/>
    <w:rsid w:val="007A108C"/>
    <w:rsid w:val="007A42A8"/>
    <w:rsid w:val="007B20BF"/>
    <w:rsid w:val="007B61F6"/>
    <w:rsid w:val="007C2404"/>
    <w:rsid w:val="007D4CFC"/>
    <w:rsid w:val="007E5D7E"/>
    <w:rsid w:val="007F0F00"/>
    <w:rsid w:val="007F452E"/>
    <w:rsid w:val="00801EE7"/>
    <w:rsid w:val="008045A1"/>
    <w:rsid w:val="008055DD"/>
    <w:rsid w:val="008213B1"/>
    <w:rsid w:val="008244E3"/>
    <w:rsid w:val="00831612"/>
    <w:rsid w:val="008434B6"/>
    <w:rsid w:val="00847A72"/>
    <w:rsid w:val="00853ED1"/>
    <w:rsid w:val="0085514C"/>
    <w:rsid w:val="00873E37"/>
    <w:rsid w:val="00876FC0"/>
    <w:rsid w:val="008C08A5"/>
    <w:rsid w:val="008C15A9"/>
    <w:rsid w:val="008C33AB"/>
    <w:rsid w:val="008F080E"/>
    <w:rsid w:val="0090423A"/>
    <w:rsid w:val="00910C6D"/>
    <w:rsid w:val="00936927"/>
    <w:rsid w:val="009532FB"/>
    <w:rsid w:val="009A7BD9"/>
    <w:rsid w:val="009B1CC3"/>
    <w:rsid w:val="009F55FC"/>
    <w:rsid w:val="00A065B6"/>
    <w:rsid w:val="00A15889"/>
    <w:rsid w:val="00A33D1C"/>
    <w:rsid w:val="00A54DF5"/>
    <w:rsid w:val="00A62F58"/>
    <w:rsid w:val="00A76A56"/>
    <w:rsid w:val="00A83508"/>
    <w:rsid w:val="00A8711E"/>
    <w:rsid w:val="00A94693"/>
    <w:rsid w:val="00AA2F7D"/>
    <w:rsid w:val="00AB2C90"/>
    <w:rsid w:val="00AC7541"/>
    <w:rsid w:val="00AD278F"/>
    <w:rsid w:val="00AD7793"/>
    <w:rsid w:val="00AE7DF5"/>
    <w:rsid w:val="00AF621A"/>
    <w:rsid w:val="00B10380"/>
    <w:rsid w:val="00B208DE"/>
    <w:rsid w:val="00B20B57"/>
    <w:rsid w:val="00B576B2"/>
    <w:rsid w:val="00B764AB"/>
    <w:rsid w:val="00B97C2D"/>
    <w:rsid w:val="00BD0E58"/>
    <w:rsid w:val="00BE6813"/>
    <w:rsid w:val="00C01A2D"/>
    <w:rsid w:val="00C274C1"/>
    <w:rsid w:val="00C43E77"/>
    <w:rsid w:val="00C54D46"/>
    <w:rsid w:val="00C55EF6"/>
    <w:rsid w:val="00C60192"/>
    <w:rsid w:val="00C66B00"/>
    <w:rsid w:val="00C92667"/>
    <w:rsid w:val="00C9391D"/>
    <w:rsid w:val="00C95C04"/>
    <w:rsid w:val="00CA0074"/>
    <w:rsid w:val="00CB0972"/>
    <w:rsid w:val="00CC0120"/>
    <w:rsid w:val="00CF1899"/>
    <w:rsid w:val="00D42A1E"/>
    <w:rsid w:val="00D46233"/>
    <w:rsid w:val="00D51937"/>
    <w:rsid w:val="00D62B18"/>
    <w:rsid w:val="00D631AC"/>
    <w:rsid w:val="00DC430F"/>
    <w:rsid w:val="00DE4C0C"/>
    <w:rsid w:val="00E26DDF"/>
    <w:rsid w:val="00E65AF6"/>
    <w:rsid w:val="00E66175"/>
    <w:rsid w:val="00E80299"/>
    <w:rsid w:val="00EB18B9"/>
    <w:rsid w:val="00EC08CC"/>
    <w:rsid w:val="00EC0AE2"/>
    <w:rsid w:val="00EC61C1"/>
    <w:rsid w:val="00ED7F28"/>
    <w:rsid w:val="00EE336F"/>
    <w:rsid w:val="00EE47E2"/>
    <w:rsid w:val="00EF0612"/>
    <w:rsid w:val="00EF1624"/>
    <w:rsid w:val="00F1136A"/>
    <w:rsid w:val="00F13A1C"/>
    <w:rsid w:val="00F620A3"/>
    <w:rsid w:val="00F72D80"/>
    <w:rsid w:val="00FB0BFD"/>
    <w:rsid w:val="00FB13E0"/>
    <w:rsid w:val="00FC3E1F"/>
    <w:rsid w:val="00FD2FA6"/>
    <w:rsid w:val="00FD34FF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1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1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11D1"/>
    <w:rPr>
      <w:kern w:val="2"/>
      <w:sz w:val="18"/>
      <w:szCs w:val="18"/>
    </w:rPr>
  </w:style>
  <w:style w:type="paragraph" w:styleId="a4">
    <w:name w:val="footer"/>
    <w:basedOn w:val="a"/>
    <w:link w:val="Char0"/>
    <w:rsid w:val="002D1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11D1"/>
    <w:rPr>
      <w:kern w:val="2"/>
      <w:sz w:val="18"/>
      <w:szCs w:val="18"/>
    </w:rPr>
  </w:style>
  <w:style w:type="paragraph" w:customStyle="1" w:styleId="CharCharCharCharCharChar">
    <w:name w:val="Char Char Char Char Char Char"/>
    <w:basedOn w:val="a"/>
    <w:rsid w:val="00714D5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0">
    <w:name w:val="Char Char Char Char Char Char"/>
    <w:basedOn w:val="a"/>
    <w:rsid w:val="003313C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a5">
    <w:name w:val="Balloon Text"/>
    <w:basedOn w:val="a"/>
    <w:link w:val="Char1"/>
    <w:rsid w:val="00274E1F"/>
    <w:rPr>
      <w:sz w:val="18"/>
      <w:szCs w:val="18"/>
    </w:rPr>
  </w:style>
  <w:style w:type="character" w:customStyle="1" w:styleId="Char1">
    <w:name w:val="批注框文本 Char"/>
    <w:basedOn w:val="a0"/>
    <w:link w:val="a5"/>
    <w:rsid w:val="00274E1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A42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1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1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11D1"/>
    <w:rPr>
      <w:kern w:val="2"/>
      <w:sz w:val="18"/>
      <w:szCs w:val="18"/>
    </w:rPr>
  </w:style>
  <w:style w:type="paragraph" w:styleId="a4">
    <w:name w:val="footer"/>
    <w:basedOn w:val="a"/>
    <w:link w:val="Char0"/>
    <w:rsid w:val="002D1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11D1"/>
    <w:rPr>
      <w:kern w:val="2"/>
      <w:sz w:val="18"/>
      <w:szCs w:val="18"/>
    </w:rPr>
  </w:style>
  <w:style w:type="paragraph" w:customStyle="1" w:styleId="CharCharCharCharCharChar">
    <w:name w:val="Char Char Char Char Char Char"/>
    <w:basedOn w:val="a"/>
    <w:rsid w:val="00714D5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0">
    <w:name w:val="Char Char Char Char Char Char"/>
    <w:basedOn w:val="a"/>
    <w:rsid w:val="003313C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a5">
    <w:name w:val="Balloon Text"/>
    <w:basedOn w:val="a"/>
    <w:link w:val="Char1"/>
    <w:rsid w:val="00274E1F"/>
    <w:rPr>
      <w:sz w:val="18"/>
      <w:szCs w:val="18"/>
    </w:rPr>
  </w:style>
  <w:style w:type="character" w:customStyle="1" w:styleId="Char1">
    <w:name w:val="批注框文本 Char"/>
    <w:basedOn w:val="a0"/>
    <w:link w:val="a5"/>
    <w:rsid w:val="00274E1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A42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812DE4-13D0-4676-B5B7-3E312C95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178</Words>
  <Characters>1017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Bjcg</dc:creator>
  <cp:lastModifiedBy>岳桂东</cp:lastModifiedBy>
  <cp:revision>56</cp:revision>
  <cp:lastPrinted>2014-02-26T02:31:00Z</cp:lastPrinted>
  <dcterms:created xsi:type="dcterms:W3CDTF">2013-03-05T09:23:00Z</dcterms:created>
  <dcterms:modified xsi:type="dcterms:W3CDTF">2016-02-23T07:02:00Z</dcterms:modified>
</cp:coreProperties>
</file>